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5B93B" w14:textId="796F328C" w:rsidR="007D4E9E" w:rsidRPr="00CD4976" w:rsidRDefault="00260489" w:rsidP="00260489">
      <w:pPr>
        <w:spacing w:before="120" w:line="36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7D4E9E" w:rsidRPr="00CD4976">
        <w:rPr>
          <w:rFonts w:asciiTheme="minorHAnsi" w:hAnsiTheme="minorHAnsi" w:cstheme="minorHAnsi"/>
          <w:sz w:val="22"/>
          <w:szCs w:val="22"/>
        </w:rPr>
        <w:t>Data da solicitação: ___/___/____</w:t>
      </w:r>
    </w:p>
    <w:p w14:paraId="491D51AA" w14:textId="1983173F" w:rsidR="00D23881" w:rsidRPr="00EF241F" w:rsidRDefault="00D23881" w:rsidP="00A13A3E">
      <w:pPr>
        <w:pStyle w:val="PargrafodaLista"/>
        <w:numPr>
          <w:ilvl w:val="0"/>
          <w:numId w:val="18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EF241F">
        <w:rPr>
          <w:rFonts w:asciiTheme="minorHAnsi" w:hAnsiTheme="minorHAnsi" w:cstheme="minorHAnsi"/>
          <w:b/>
          <w:bCs/>
          <w:sz w:val="22"/>
          <w:szCs w:val="22"/>
        </w:rPr>
        <w:t>DADOS DO PACIENTE</w:t>
      </w:r>
    </w:p>
    <w:p w14:paraId="04D2C805" w14:textId="77777777" w:rsidR="00D23881" w:rsidRPr="00B274DE" w:rsidRDefault="00D23881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Nome completo:</w:t>
      </w:r>
    </w:p>
    <w:p w14:paraId="25501274" w14:textId="4BF867E7" w:rsidR="00D23881" w:rsidRPr="00B274DE" w:rsidRDefault="00D23881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Data de nascimento: 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74DE">
        <w:rPr>
          <w:rFonts w:asciiTheme="minorHAnsi" w:hAnsiTheme="minorHAnsi" w:cstheme="minorHAnsi"/>
          <w:sz w:val="22"/>
          <w:szCs w:val="22"/>
        </w:rPr>
        <w:t>____/____/_____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Idade: </w:t>
      </w:r>
      <w:r w:rsidRPr="00B274DE">
        <w:rPr>
          <w:rFonts w:asciiTheme="minorHAnsi" w:hAnsiTheme="minorHAnsi" w:cstheme="minorHAnsi"/>
          <w:sz w:val="22"/>
          <w:szCs w:val="22"/>
        </w:rPr>
        <w:t>______ anos</w:t>
      </w:r>
      <w:r w:rsidR="004C058A" w:rsidRPr="00CD4976">
        <w:rPr>
          <w:rFonts w:asciiTheme="minorHAnsi" w:hAnsiTheme="minorHAnsi" w:cstheme="minorHAnsi"/>
          <w:sz w:val="22"/>
          <w:szCs w:val="22"/>
        </w:rPr>
        <w:tab/>
      </w:r>
      <w:r w:rsidR="004C058A" w:rsidRPr="00CD4976">
        <w:rPr>
          <w:rFonts w:asciiTheme="minorHAnsi" w:hAnsiTheme="minorHAnsi" w:cstheme="minorHAnsi"/>
          <w:sz w:val="22"/>
          <w:szCs w:val="22"/>
        </w:rPr>
        <w:tab/>
        <w:t>Peso: _______ Kg</w:t>
      </w:r>
    </w:p>
    <w:p w14:paraId="0BE0AD2F" w14:textId="4E22FF52" w:rsidR="00D23881" w:rsidRPr="00B274DE" w:rsidRDefault="00D23881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CPF:</w:t>
      </w:r>
      <w:r w:rsidRPr="00B274DE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="00DF6EA0" w:rsidRPr="00CD4976">
        <w:rPr>
          <w:rFonts w:asciiTheme="minorHAnsi" w:hAnsiTheme="minorHAnsi" w:cstheme="minorHAnsi"/>
          <w:sz w:val="22"/>
          <w:szCs w:val="22"/>
        </w:rPr>
        <w:tab/>
      </w:r>
      <w:r w:rsidR="00DF6EA0" w:rsidRPr="00CD4976">
        <w:rPr>
          <w:rFonts w:asciiTheme="minorHAnsi" w:hAnsiTheme="minorHAnsi" w:cstheme="minorHAnsi"/>
          <w:sz w:val="22"/>
          <w:szCs w:val="22"/>
        </w:rPr>
        <w:tab/>
      </w:r>
      <w:r w:rsidR="00DF6EA0" w:rsidRPr="00531F81">
        <w:rPr>
          <w:rFonts w:asciiTheme="minorHAnsi" w:hAnsiTheme="minorHAnsi" w:cstheme="minorHAnsi"/>
          <w:b/>
          <w:bCs/>
          <w:sz w:val="22"/>
          <w:szCs w:val="22"/>
        </w:rPr>
        <w:t>Prontuário hospitalar:</w:t>
      </w:r>
      <w:r w:rsidR="00531F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1F81" w:rsidRPr="00531F81">
        <w:rPr>
          <w:rFonts w:asciiTheme="minorHAnsi" w:hAnsiTheme="minorHAnsi" w:cstheme="minorHAnsi"/>
          <w:sz w:val="22"/>
          <w:szCs w:val="22"/>
        </w:rPr>
        <w:t>____</w:t>
      </w:r>
      <w:r w:rsidR="004C058A">
        <w:rPr>
          <w:rFonts w:asciiTheme="minorHAnsi" w:hAnsiTheme="minorHAnsi" w:cstheme="minorHAnsi"/>
          <w:sz w:val="22"/>
          <w:szCs w:val="22"/>
        </w:rPr>
        <w:t>_____</w:t>
      </w:r>
      <w:r w:rsidR="00531F81" w:rsidRPr="00531F81">
        <w:rPr>
          <w:rFonts w:asciiTheme="minorHAnsi" w:hAnsiTheme="minorHAnsi" w:cstheme="minorHAnsi"/>
          <w:sz w:val="22"/>
          <w:szCs w:val="22"/>
        </w:rPr>
        <w:t>_____________</w:t>
      </w:r>
    </w:p>
    <w:p w14:paraId="5A727E63" w14:textId="444B29F1" w:rsidR="00D23881" w:rsidRDefault="00D23881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Sexo: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="00F76C42" w:rsidRPr="00B274DE">
        <w:rPr>
          <w:rFonts w:ascii="Wingdings" w:eastAsia="Wingdings" w:hAnsi="Wingdings" w:cs="Wingdings"/>
          <w:sz w:val="22"/>
          <w:szCs w:val="22"/>
        </w:rPr>
        <w:t></w:t>
      </w:r>
      <w:r w:rsidR="00F76C42" w:rsidRPr="00B274DE">
        <w:rPr>
          <w:rFonts w:ascii="Wingdings" w:eastAsia="Wingdings" w:hAnsi="Wingdings" w:cs="Wingdings"/>
          <w:sz w:val="22"/>
          <w:szCs w:val="22"/>
        </w:rPr>
        <w:t></w:t>
      </w:r>
      <w:r w:rsidRPr="00B274DE">
        <w:rPr>
          <w:rFonts w:asciiTheme="minorHAnsi" w:hAnsiTheme="minorHAnsi" w:cstheme="minorHAnsi"/>
          <w:sz w:val="22"/>
          <w:szCs w:val="22"/>
        </w:rPr>
        <w:t xml:space="preserve">Masculino </w:t>
      </w:r>
      <w:r w:rsidR="00F76C42" w:rsidRPr="00B274DE">
        <w:rPr>
          <w:rFonts w:asciiTheme="minorHAnsi" w:hAnsiTheme="minorHAnsi" w:cstheme="minorHAnsi"/>
          <w:sz w:val="22"/>
          <w:szCs w:val="22"/>
        </w:rPr>
        <w:tab/>
      </w:r>
      <w:r w:rsidR="00F76C42" w:rsidRPr="00B274DE">
        <w:rPr>
          <w:rFonts w:asciiTheme="minorHAnsi" w:hAnsiTheme="minorHAnsi" w:cstheme="minorHAnsi"/>
          <w:sz w:val="22"/>
          <w:szCs w:val="22"/>
        </w:rPr>
        <w:tab/>
      </w:r>
      <w:r w:rsidR="00F76C42"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Feminino </w:t>
      </w:r>
      <w:r w:rsidR="0019538D" w:rsidRPr="00B274DE">
        <w:rPr>
          <w:rFonts w:asciiTheme="minorHAnsi" w:eastAsia="Wingdings" w:hAnsiTheme="minorHAnsi" w:cstheme="minorHAnsi"/>
          <w:sz w:val="22"/>
          <w:szCs w:val="22"/>
        </w:rPr>
        <w:tab/>
      </w:r>
      <w:r w:rsidR="0019538D" w:rsidRPr="00B274DE">
        <w:rPr>
          <w:rFonts w:asciiTheme="minorHAnsi" w:eastAsia="Wingdings" w:hAnsiTheme="minorHAnsi" w:cstheme="minorHAnsi"/>
          <w:sz w:val="22"/>
          <w:szCs w:val="22"/>
        </w:rPr>
        <w:tab/>
      </w:r>
      <w:r w:rsidR="0019538D"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_________</w:t>
      </w:r>
      <w:r w:rsidR="00A24F88">
        <w:rPr>
          <w:rFonts w:asciiTheme="minorHAnsi" w:hAnsiTheme="minorHAnsi" w:cstheme="minorHAnsi"/>
          <w:sz w:val="22"/>
          <w:szCs w:val="22"/>
        </w:rPr>
        <w:t>______________</w:t>
      </w:r>
      <w:r w:rsidRPr="00B274DE">
        <w:rPr>
          <w:rFonts w:asciiTheme="minorHAnsi" w:hAnsiTheme="minorHAnsi" w:cstheme="minorHAnsi"/>
          <w:sz w:val="22"/>
          <w:szCs w:val="22"/>
        </w:rPr>
        <w:t>___________</w:t>
      </w:r>
    </w:p>
    <w:p w14:paraId="10991138" w14:textId="6E754C7E" w:rsidR="0072170D" w:rsidRDefault="0072170D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Diagnóstico principal conforme protocolos ASFA: </w:t>
      </w:r>
      <w:r w:rsidRPr="00A24F88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500C0C64" w14:textId="77777777" w:rsidR="00DF2A72" w:rsidRPr="00B274DE" w:rsidRDefault="00DF2A72" w:rsidP="00DF2A72">
      <w:pPr>
        <w:pStyle w:val="PargrafodaLista"/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</w:p>
    <w:p w14:paraId="65393933" w14:textId="60ED71E1" w:rsidR="00DF2A72" w:rsidRPr="0050146A" w:rsidRDefault="00DF2A72" w:rsidP="00DF2A72">
      <w:pPr>
        <w:pStyle w:val="PargrafodaLista"/>
        <w:numPr>
          <w:ilvl w:val="0"/>
          <w:numId w:val="18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50146A">
        <w:rPr>
          <w:rFonts w:asciiTheme="minorHAnsi" w:hAnsiTheme="minorHAnsi" w:cstheme="minorHAnsi"/>
          <w:b/>
          <w:bCs/>
          <w:sz w:val="22"/>
          <w:szCs w:val="22"/>
        </w:rPr>
        <w:t xml:space="preserve">Detalhes da </w:t>
      </w:r>
      <w:r w:rsidR="007237C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50146A">
        <w:rPr>
          <w:rFonts w:asciiTheme="minorHAnsi" w:hAnsiTheme="minorHAnsi" w:cstheme="minorHAnsi"/>
          <w:b/>
          <w:bCs/>
          <w:sz w:val="22"/>
          <w:szCs w:val="22"/>
        </w:rPr>
        <w:t xml:space="preserve">olicitação de </w:t>
      </w:r>
      <w:proofErr w:type="spellStart"/>
      <w:r w:rsidR="002A6B46">
        <w:rPr>
          <w:rFonts w:asciiTheme="minorHAnsi" w:hAnsiTheme="minorHAnsi" w:cstheme="minorHAnsi"/>
          <w:b/>
          <w:bCs/>
          <w:sz w:val="22"/>
          <w:szCs w:val="22"/>
        </w:rPr>
        <w:t>plasmaférese</w:t>
      </w:r>
      <w:proofErr w:type="spellEnd"/>
      <w:r w:rsidR="002A6B46">
        <w:rPr>
          <w:rFonts w:asciiTheme="minorHAnsi" w:hAnsiTheme="minorHAnsi" w:cstheme="minorHAnsi"/>
          <w:b/>
          <w:bCs/>
          <w:sz w:val="22"/>
          <w:szCs w:val="22"/>
        </w:rPr>
        <w:t xml:space="preserve"> terapêutica (</w:t>
      </w:r>
      <w:r w:rsidRPr="0050146A">
        <w:rPr>
          <w:rFonts w:asciiTheme="minorHAnsi" w:hAnsiTheme="minorHAnsi" w:cstheme="minorHAnsi"/>
          <w:b/>
          <w:bCs/>
          <w:sz w:val="22"/>
          <w:szCs w:val="22"/>
        </w:rPr>
        <w:t>TPE</w:t>
      </w:r>
      <w:r w:rsidR="002A6B4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F5453BC" w14:textId="77777777" w:rsidR="00DF2A72" w:rsidRPr="00CD4976" w:rsidRDefault="00DF2A72" w:rsidP="00DF2A72">
      <w:pPr>
        <w:pStyle w:val="PargrafodaLista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CD4976">
        <w:rPr>
          <w:rFonts w:asciiTheme="minorHAnsi" w:hAnsiTheme="minorHAnsi" w:cstheme="minorHAnsi"/>
          <w:sz w:val="22"/>
          <w:szCs w:val="22"/>
        </w:rPr>
        <w:t>Número de sessões solicitadas:</w:t>
      </w:r>
      <w:r>
        <w:rPr>
          <w:rFonts w:asciiTheme="minorHAnsi" w:hAnsiTheme="minorHAnsi" w:cstheme="minorHAnsi"/>
          <w:sz w:val="22"/>
          <w:szCs w:val="22"/>
        </w:rPr>
        <w:t xml:space="preserve"> __________</w:t>
      </w:r>
    </w:p>
    <w:p w14:paraId="411D36F4" w14:textId="77777777" w:rsidR="00DF2A72" w:rsidRDefault="00DF2A72" w:rsidP="00DF2A72">
      <w:pPr>
        <w:pStyle w:val="PargrafodaLista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CD4976">
        <w:rPr>
          <w:rFonts w:asciiTheme="minorHAnsi" w:hAnsiTheme="minorHAnsi" w:cstheme="minorHAnsi"/>
          <w:sz w:val="22"/>
          <w:szCs w:val="22"/>
        </w:rPr>
        <w:t>Volume plasmático a processar por sessão (TPV): 1.0 - 1.5 TPV</w:t>
      </w:r>
    </w:p>
    <w:p w14:paraId="1C261A4D" w14:textId="77777777" w:rsidR="0025528B" w:rsidRDefault="0025528B" w:rsidP="0025528B">
      <w:pPr>
        <w:pStyle w:val="PargrafodaLista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460FD872" w14:textId="77777777" w:rsidR="00AA44C1" w:rsidRPr="00AF3D6E" w:rsidRDefault="00AA44C1" w:rsidP="00AA44C1">
      <w:pPr>
        <w:pStyle w:val="PargrafodaLista"/>
        <w:numPr>
          <w:ilvl w:val="0"/>
          <w:numId w:val="18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AF3D6E">
        <w:rPr>
          <w:rFonts w:asciiTheme="minorHAnsi" w:hAnsiTheme="minorHAnsi" w:cstheme="minorHAnsi"/>
          <w:b/>
          <w:bCs/>
          <w:sz w:val="22"/>
          <w:szCs w:val="22"/>
        </w:rPr>
        <w:t>Justificativa médica detalhada para a TPE, incluindo tratamentos anteriores de primeira linha</w:t>
      </w:r>
    </w:p>
    <w:p w14:paraId="318EACFB" w14:textId="77777777" w:rsidR="0025528B" w:rsidRPr="00CD4976" w:rsidRDefault="0025528B" w:rsidP="0025528B">
      <w:pPr>
        <w:pStyle w:val="PargrafodaLista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3134DAB5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B72A51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F5A17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78FF713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F715B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5303D4" w14:textId="77777777" w:rsidR="00D23881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261AE50" w14:textId="77777777" w:rsidR="00840737" w:rsidRDefault="00840737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A2A9BC6" w14:textId="77777777" w:rsidR="00840737" w:rsidRPr="00B274DE" w:rsidRDefault="00840737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5F66EA" w14:textId="77777777" w:rsidR="00D96C7A" w:rsidRDefault="00D96C7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4CFAE18F" w14:textId="58232C18" w:rsidR="00D23881" w:rsidRPr="00B274DE" w:rsidRDefault="00D23881" w:rsidP="000070E8">
      <w:pPr>
        <w:pStyle w:val="PargrafodaLista"/>
        <w:numPr>
          <w:ilvl w:val="0"/>
          <w:numId w:val="18"/>
        </w:numPr>
        <w:spacing w:before="240" w:after="240" w:line="360" w:lineRule="auto"/>
        <w:ind w:right="196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DADOS CLÍNICOS </w:t>
      </w:r>
      <w:r w:rsidRPr="00B274DE">
        <w:rPr>
          <w:rFonts w:asciiTheme="minorHAnsi" w:hAnsiTheme="minorHAnsi" w:cstheme="minorHAnsi"/>
          <w:sz w:val="22"/>
          <w:szCs w:val="22"/>
        </w:rPr>
        <w:t>– assinalar abaixo os sinais, sintomas, resultados de testes laboratoriais e de imagem apresentados pelo paciente, que corroboram com o diagnóstico de NMOSD. Favor anexar os resultados da pesquisa de anti-aquaporina-4 e da ressonância magnética sempre que estiverem disponíveis.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881" w:rsidRPr="00B274DE" w14:paraId="156BA91E" w14:textId="77777777" w:rsidTr="00EB6668">
        <w:trPr>
          <w:trHeight w:val="397"/>
        </w:trPr>
        <w:tc>
          <w:tcPr>
            <w:tcW w:w="10485" w:type="dxa"/>
            <w:shd w:val="clear" w:color="auto" w:fill="DDD9C3" w:themeFill="background2" w:themeFillShade="E6"/>
            <w:vAlign w:val="center"/>
          </w:tcPr>
          <w:p w14:paraId="4FAC05E9" w14:textId="77777777" w:rsidR="00D23881" w:rsidRPr="00B274DE" w:rsidRDefault="00D23881" w:rsidP="00EB6668">
            <w:pPr>
              <w:ind w:right="-56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Características clínicas principais</w:t>
            </w:r>
          </w:p>
        </w:tc>
      </w:tr>
      <w:tr w:rsidR="00D23881" w:rsidRPr="00B274DE" w14:paraId="3AEFAE6E" w14:textId="77777777" w:rsidTr="000070E8">
        <w:trPr>
          <w:trHeight w:val="1984"/>
        </w:trPr>
        <w:tc>
          <w:tcPr>
            <w:tcW w:w="10485" w:type="dxa"/>
            <w:vAlign w:val="center"/>
          </w:tcPr>
          <w:p w14:paraId="5E43A5D5" w14:textId="3B5792E0" w:rsidR="00D23881" w:rsidRPr="00B274DE" w:rsidRDefault="0019538D" w:rsidP="00D23881">
            <w:pPr>
              <w:pStyle w:val="PargrafodaLista"/>
              <w:numPr>
                <w:ilvl w:val="0"/>
                <w:numId w:val="11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4DE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Neurite óptica.</w:t>
            </w:r>
          </w:p>
          <w:p w14:paraId="643DD696" w14:textId="7CD89E45" w:rsidR="00D23881" w:rsidRPr="00B274DE" w:rsidRDefault="0019538D" w:rsidP="00D23881">
            <w:pPr>
              <w:pStyle w:val="PargrafodaLista"/>
              <w:numPr>
                <w:ilvl w:val="0"/>
                <w:numId w:val="11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4DE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Mielite aguda.</w:t>
            </w:r>
          </w:p>
          <w:p w14:paraId="335E1C26" w14:textId="316257C2" w:rsidR="00D23881" w:rsidRPr="00B274DE" w:rsidRDefault="0019538D" w:rsidP="00D23881">
            <w:pPr>
              <w:pStyle w:val="PargrafodaLista"/>
              <w:numPr>
                <w:ilvl w:val="0"/>
                <w:numId w:val="11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4DE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Síndrome da área postrema: episódio de soluços ou náuseas e vômitos inexplicáveis.</w:t>
            </w:r>
          </w:p>
          <w:p w14:paraId="3C6AA79C" w14:textId="265B4F40" w:rsidR="00D23881" w:rsidRPr="00B274DE" w:rsidRDefault="0019538D" w:rsidP="00D23881">
            <w:pPr>
              <w:pStyle w:val="PargrafodaLista"/>
              <w:numPr>
                <w:ilvl w:val="0"/>
                <w:numId w:val="11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4DE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Síndrome do tronco encefálico.</w:t>
            </w:r>
          </w:p>
          <w:p w14:paraId="62ACE24A" w14:textId="6A877E4D" w:rsidR="00D23881" w:rsidRPr="00B274DE" w:rsidRDefault="0019538D" w:rsidP="00D23881">
            <w:pPr>
              <w:pStyle w:val="PargrafodaLista"/>
              <w:numPr>
                <w:ilvl w:val="0"/>
                <w:numId w:val="11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4DE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Narcolepsia sintomática ou síndrome clínica </w:t>
            </w:r>
            <w:proofErr w:type="spellStart"/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diencefálica</w:t>
            </w:r>
            <w:proofErr w:type="spellEnd"/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aguda com lesões típicas de NMOSD na ressonância magnética do diencéfalo </w:t>
            </w:r>
            <w:r w:rsidR="00D23881"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(anexar laudo).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</w:t>
            </w:r>
          </w:p>
          <w:p w14:paraId="1D7209D3" w14:textId="73A209D5" w:rsidR="00D23881" w:rsidRPr="00B274DE" w:rsidRDefault="0019538D" w:rsidP="00D23881">
            <w:pPr>
              <w:pStyle w:val="PargrafodaLista"/>
              <w:numPr>
                <w:ilvl w:val="0"/>
                <w:numId w:val="11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4DE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Síndrome cerebral sintomática com lesões cerebrais típicas de NMOSD.</w:t>
            </w:r>
          </w:p>
        </w:tc>
      </w:tr>
      <w:tr w:rsidR="00D23881" w:rsidRPr="00B274DE" w14:paraId="5CAF36C7" w14:textId="77777777" w:rsidTr="00EB6668">
        <w:trPr>
          <w:trHeight w:val="397"/>
        </w:trPr>
        <w:tc>
          <w:tcPr>
            <w:tcW w:w="10485" w:type="dxa"/>
            <w:shd w:val="clear" w:color="auto" w:fill="DDD9C3" w:themeFill="background2" w:themeFillShade="E6"/>
            <w:vAlign w:val="center"/>
          </w:tcPr>
          <w:p w14:paraId="18039671" w14:textId="77777777" w:rsidR="00D23881" w:rsidRPr="00B274DE" w:rsidRDefault="00D23881" w:rsidP="00EB6668">
            <w:pPr>
              <w:ind w:right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Critérios diagnósticos para NMOSD com AQP4-IgG</w:t>
            </w:r>
          </w:p>
        </w:tc>
      </w:tr>
      <w:tr w:rsidR="00D23881" w:rsidRPr="00B274DE" w14:paraId="6E5E0A80" w14:textId="77777777" w:rsidTr="00B274DE">
        <w:trPr>
          <w:trHeight w:val="907"/>
        </w:trPr>
        <w:tc>
          <w:tcPr>
            <w:tcW w:w="10485" w:type="dxa"/>
            <w:vAlign w:val="center"/>
          </w:tcPr>
          <w:p w14:paraId="48D5664E" w14:textId="06D783DD" w:rsidR="00D23881" w:rsidRPr="00B274DE" w:rsidRDefault="0019538D" w:rsidP="00D23881">
            <w:pPr>
              <w:pStyle w:val="PargrafodaLista"/>
              <w:numPr>
                <w:ilvl w:val="0"/>
                <w:numId w:val="9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4DE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Pelo menos uma característica clínica principal.</w:t>
            </w:r>
          </w:p>
          <w:p w14:paraId="3DC29B66" w14:textId="63CCC6A0" w:rsidR="00D23881" w:rsidRPr="00B274DE" w:rsidRDefault="0019538D" w:rsidP="00D23881">
            <w:pPr>
              <w:pStyle w:val="PargrafodaLista"/>
              <w:numPr>
                <w:ilvl w:val="0"/>
                <w:numId w:val="9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4DE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Teste positivo para AQP4-IgG usando o melhor método de detecção disponível </w:t>
            </w:r>
            <w:r w:rsidR="00D23881"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(anexar resultado).</w:t>
            </w:r>
          </w:p>
          <w:p w14:paraId="6DD06275" w14:textId="45ECC609" w:rsidR="00D23881" w:rsidRPr="00B274DE" w:rsidRDefault="0019538D" w:rsidP="00D23881">
            <w:pPr>
              <w:pStyle w:val="PargrafodaLista"/>
              <w:numPr>
                <w:ilvl w:val="0"/>
                <w:numId w:val="9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4DE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Exclusão de diagnósticos alternativos.</w:t>
            </w:r>
          </w:p>
        </w:tc>
      </w:tr>
      <w:tr w:rsidR="00D23881" w:rsidRPr="00B274DE" w14:paraId="4890D361" w14:textId="77777777" w:rsidTr="00EB6668">
        <w:trPr>
          <w:trHeight w:val="680"/>
        </w:trPr>
        <w:tc>
          <w:tcPr>
            <w:tcW w:w="10485" w:type="dxa"/>
            <w:shd w:val="clear" w:color="auto" w:fill="DDD9C3" w:themeFill="background2" w:themeFillShade="E6"/>
            <w:vAlign w:val="center"/>
          </w:tcPr>
          <w:p w14:paraId="28C5D533" w14:textId="77777777" w:rsidR="00D23881" w:rsidRPr="00B274DE" w:rsidRDefault="00D23881" w:rsidP="00EB6668">
            <w:pPr>
              <w:ind w:right="-56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Critérios diagnósticos para NMOSD sem AQP4-IgG ou NMOSD com status de AQP4-IgG desconhecido</w:t>
            </w:r>
          </w:p>
        </w:tc>
      </w:tr>
      <w:tr w:rsidR="00D23881" w:rsidRPr="00B274DE" w14:paraId="5C9825A9" w14:textId="77777777" w:rsidTr="00B274DE">
        <w:trPr>
          <w:trHeight w:val="2324"/>
        </w:trPr>
        <w:tc>
          <w:tcPr>
            <w:tcW w:w="10485" w:type="dxa"/>
            <w:vAlign w:val="center"/>
          </w:tcPr>
          <w:p w14:paraId="7709FF82" w14:textId="600AF69C" w:rsidR="00D23881" w:rsidRPr="00B274DE" w:rsidRDefault="00B274DE" w:rsidP="00D23881">
            <w:pPr>
              <w:pStyle w:val="PargrafodaLista"/>
              <w:numPr>
                <w:ilvl w:val="0"/>
                <w:numId w:val="10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Pelo menos duas características clínicas principais que ocorrem como resultado de um ou mais ataques clínicos e atendem a todos os seguintes requisitos:</w:t>
            </w:r>
          </w:p>
          <w:p w14:paraId="559C252C" w14:textId="3E22CBB2" w:rsidR="00D23881" w:rsidRPr="00B274DE" w:rsidRDefault="00B274DE" w:rsidP="00D23881">
            <w:pPr>
              <w:pStyle w:val="PargrafodaLista"/>
              <w:numPr>
                <w:ilvl w:val="1"/>
                <w:numId w:val="10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Pelo menos uma característica clínica principal deve ser neurite óptica, mielite aguda com mielite transversa extensa (LETM) ou síndrome da área postrema.</w:t>
            </w:r>
          </w:p>
          <w:p w14:paraId="624AE811" w14:textId="20B90BFE" w:rsidR="00D23881" w:rsidRPr="00B274DE" w:rsidRDefault="00B274DE" w:rsidP="00D23881">
            <w:pPr>
              <w:pStyle w:val="PargrafodaLista"/>
              <w:numPr>
                <w:ilvl w:val="1"/>
                <w:numId w:val="10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Disseminação no espaço (duas ou mais características clínicas principais diferentes).</w:t>
            </w:r>
          </w:p>
          <w:p w14:paraId="6EB5C145" w14:textId="2FFE4BC5" w:rsidR="00D23881" w:rsidRPr="00B274DE" w:rsidRDefault="00B274DE" w:rsidP="00D23881">
            <w:pPr>
              <w:pStyle w:val="PargrafodaLista"/>
              <w:numPr>
                <w:ilvl w:val="1"/>
                <w:numId w:val="10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Atendimento aos requisitos adicionais de ressonância magnética, conforme aplicável.</w:t>
            </w:r>
          </w:p>
          <w:p w14:paraId="4DC45FE3" w14:textId="3AFF57AC" w:rsidR="00D23881" w:rsidRPr="00B274DE" w:rsidRDefault="00B274DE" w:rsidP="00D23881">
            <w:pPr>
              <w:pStyle w:val="PargrafodaLista"/>
              <w:numPr>
                <w:ilvl w:val="0"/>
                <w:numId w:val="10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Testes negativos para AQP4-IgG usando o melhor método de detecção disponível ou teste indisponível.</w:t>
            </w:r>
          </w:p>
          <w:p w14:paraId="019F6FFE" w14:textId="50B30CAC" w:rsidR="00D23881" w:rsidRPr="00B274DE" w:rsidRDefault="00B274DE" w:rsidP="00D23881">
            <w:pPr>
              <w:pStyle w:val="PargrafodaLista"/>
              <w:numPr>
                <w:ilvl w:val="0"/>
                <w:numId w:val="10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Exclusão de diagnósticos alternativos.</w:t>
            </w:r>
          </w:p>
        </w:tc>
      </w:tr>
      <w:tr w:rsidR="00D23881" w:rsidRPr="00B274DE" w14:paraId="44068554" w14:textId="77777777" w:rsidTr="00EB6668">
        <w:trPr>
          <w:trHeight w:val="680"/>
        </w:trPr>
        <w:tc>
          <w:tcPr>
            <w:tcW w:w="10485" w:type="dxa"/>
            <w:shd w:val="clear" w:color="auto" w:fill="DDD9C3" w:themeFill="background2" w:themeFillShade="E6"/>
            <w:vAlign w:val="center"/>
          </w:tcPr>
          <w:p w14:paraId="53E99BB0" w14:textId="77777777" w:rsidR="00D23881" w:rsidRPr="00B274DE" w:rsidRDefault="00D23881" w:rsidP="00EB6668">
            <w:pPr>
              <w:ind w:right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Requisitos adicionais de ressonância magnética para NMOSD sem AQP4-IgG e NMOSD com status de AQP4-IgG desconhecido.</w:t>
            </w:r>
          </w:p>
        </w:tc>
      </w:tr>
      <w:tr w:rsidR="00D23881" w:rsidRPr="00B274DE" w14:paraId="1FBCB38B" w14:textId="77777777" w:rsidTr="00B274DE">
        <w:trPr>
          <w:trHeight w:val="2665"/>
        </w:trPr>
        <w:tc>
          <w:tcPr>
            <w:tcW w:w="10485" w:type="dxa"/>
            <w:vAlign w:val="center"/>
          </w:tcPr>
          <w:p w14:paraId="4935D1EA" w14:textId="0E3A54A6" w:rsidR="00D23881" w:rsidRPr="00B274DE" w:rsidRDefault="00B274DE" w:rsidP="00D23881">
            <w:pPr>
              <w:pStyle w:val="PargrafodaLista"/>
              <w:numPr>
                <w:ilvl w:val="0"/>
                <w:numId w:val="12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Neurite óptica aguda: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requer ressonância magnética cerebral mostrando (a) achados normais ou apenas lesões inespecíficas da substância branca, ou (b) ressonância magnética do nervo óptico com lesão </w:t>
            </w:r>
            <w:proofErr w:type="spellStart"/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hiperintensa</w:t>
            </w:r>
            <w:proofErr w:type="spellEnd"/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em T2 ou lesão com realce por gadolínio ponderada em T1 estendendo-se por mais da metade do comprimento do nervo óptico ou envolvendo o quiasma óptico.</w:t>
            </w:r>
          </w:p>
          <w:p w14:paraId="30C2D527" w14:textId="477A36D5" w:rsidR="00D23881" w:rsidRPr="00B274DE" w:rsidRDefault="00B274DE" w:rsidP="00D23881">
            <w:pPr>
              <w:pStyle w:val="PargrafodaLista"/>
              <w:numPr>
                <w:ilvl w:val="0"/>
                <w:numId w:val="12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Mielite aguda: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requer lesão intramedular associada na ressonância magnética estendendo-se por ≥ 3 segmentos contíguos (LETM) ou ≥ 3 segmentos contíguos de atrofia focal da medula espinhal em pacientes com histórico compatível com mielite aguda.</w:t>
            </w:r>
          </w:p>
          <w:p w14:paraId="3D77F629" w14:textId="08A9BB95" w:rsidR="00D23881" w:rsidRPr="00B274DE" w:rsidRDefault="00B274DE" w:rsidP="00D23881">
            <w:pPr>
              <w:pStyle w:val="PargrafodaLista"/>
              <w:numPr>
                <w:ilvl w:val="0"/>
                <w:numId w:val="12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Síndrome da área postrema: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requer medula/área dorsal associada - lesões em área postrema</w:t>
            </w:r>
          </w:p>
          <w:p w14:paraId="3E2B5730" w14:textId="67130F80" w:rsidR="00D23881" w:rsidRPr="00B274DE" w:rsidRDefault="00B274DE" w:rsidP="00D23881">
            <w:pPr>
              <w:pStyle w:val="PargrafodaLista"/>
              <w:numPr>
                <w:ilvl w:val="0"/>
                <w:numId w:val="12"/>
              </w:numPr>
              <w:ind w:right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B1B">
              <w:rPr>
                <w:rFonts w:ascii="Wingdings" w:eastAsia="Wingdings" w:hAnsi="Wingdings" w:cs="Wingdings"/>
              </w:rPr>
              <w:t></w:t>
            </w:r>
            <w:r w:rsidR="00D23881" w:rsidRPr="00B274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="00D23881" w:rsidRPr="00B27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Síndrome aguda do tronco encefálico:</w:t>
            </w:r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requer lesões </w:t>
            </w:r>
            <w:proofErr w:type="spellStart"/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>periependimárias</w:t>
            </w:r>
            <w:proofErr w:type="spellEnd"/>
            <w:r w:rsidR="00D23881" w:rsidRPr="00B274DE">
              <w:rPr>
                <w:rFonts w:asciiTheme="minorHAnsi" w:hAnsiTheme="minorHAnsi" w:cstheme="minorHAnsi"/>
                <w:sz w:val="22"/>
                <w:szCs w:val="22"/>
              </w:rPr>
              <w:t xml:space="preserve"> associadas do tronco encefálico</w:t>
            </w:r>
          </w:p>
        </w:tc>
      </w:tr>
    </w:tbl>
    <w:p w14:paraId="25408C93" w14:textId="77777777" w:rsidR="00D23881" w:rsidRPr="00B274DE" w:rsidRDefault="00D23881" w:rsidP="00D23881">
      <w:pPr>
        <w:ind w:right="11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Sendo: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>AQP4:</w:t>
      </w:r>
      <w:r w:rsidRPr="00B274DE">
        <w:rPr>
          <w:rFonts w:asciiTheme="minorHAnsi" w:hAnsiTheme="minorHAnsi" w:cstheme="minorHAnsi"/>
          <w:sz w:val="22"/>
          <w:szCs w:val="22"/>
        </w:rPr>
        <w:t xml:space="preserve"> aquaporina-4; </w:t>
      </w:r>
      <w:proofErr w:type="spellStart"/>
      <w:r w:rsidRPr="00B274DE">
        <w:rPr>
          <w:rFonts w:asciiTheme="minorHAnsi" w:hAnsiTheme="minorHAnsi" w:cstheme="minorHAnsi"/>
          <w:b/>
          <w:bCs/>
          <w:sz w:val="22"/>
          <w:szCs w:val="22"/>
        </w:rPr>
        <w:t>IgG</w:t>
      </w:r>
      <w:proofErr w:type="spellEnd"/>
      <w:r w:rsidRPr="00B274D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B274DE">
        <w:rPr>
          <w:rFonts w:asciiTheme="minorHAnsi" w:hAnsiTheme="minorHAnsi" w:cstheme="minorHAnsi"/>
          <w:sz w:val="22"/>
          <w:szCs w:val="22"/>
        </w:rPr>
        <w:t xml:space="preserve"> imunoglobulina G; 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>LETM:</w:t>
      </w:r>
      <w:r w:rsidRPr="00B274DE">
        <w:rPr>
          <w:rFonts w:asciiTheme="minorHAnsi" w:hAnsiTheme="minorHAnsi" w:cstheme="minorHAnsi"/>
          <w:sz w:val="22"/>
          <w:szCs w:val="22"/>
        </w:rPr>
        <w:t xml:space="preserve"> lesões de mielite transversa longitudinalmente extensas; 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NMOSD: </w:t>
      </w:r>
      <w:r w:rsidRPr="00B274DE">
        <w:rPr>
          <w:rFonts w:asciiTheme="minorHAnsi" w:hAnsiTheme="minorHAnsi" w:cstheme="minorHAnsi"/>
          <w:sz w:val="22"/>
          <w:szCs w:val="22"/>
        </w:rPr>
        <w:t xml:space="preserve">doença do espectro da </w:t>
      </w:r>
      <w:proofErr w:type="spellStart"/>
      <w:r w:rsidRPr="00B274DE">
        <w:rPr>
          <w:rFonts w:asciiTheme="minorHAnsi" w:hAnsiTheme="minorHAnsi" w:cstheme="minorHAnsi"/>
          <w:sz w:val="22"/>
          <w:szCs w:val="22"/>
        </w:rPr>
        <w:t>neuromielite</w:t>
      </w:r>
      <w:proofErr w:type="spellEnd"/>
      <w:r w:rsidRPr="00B274DE">
        <w:rPr>
          <w:rFonts w:asciiTheme="minorHAnsi" w:hAnsiTheme="minorHAnsi" w:cstheme="minorHAnsi"/>
          <w:sz w:val="22"/>
          <w:szCs w:val="22"/>
        </w:rPr>
        <w:t xml:space="preserve"> óptica.</w:t>
      </w:r>
    </w:p>
    <w:p w14:paraId="7F0C66DF" w14:textId="77777777" w:rsidR="00D23881" w:rsidRPr="00B274DE" w:rsidRDefault="00D23881" w:rsidP="00D23881">
      <w:pPr>
        <w:ind w:right="-568"/>
        <w:rPr>
          <w:rFonts w:asciiTheme="minorHAnsi" w:hAnsiTheme="minorHAnsi" w:cstheme="minorHAnsi"/>
          <w:sz w:val="22"/>
          <w:szCs w:val="22"/>
        </w:rPr>
      </w:pPr>
    </w:p>
    <w:p w14:paraId="501A8630" w14:textId="513689BC" w:rsidR="00D23881" w:rsidRPr="00B274DE" w:rsidRDefault="00D23881" w:rsidP="00AC6330">
      <w:pPr>
        <w:pStyle w:val="PargrafodaLista"/>
        <w:numPr>
          <w:ilvl w:val="0"/>
          <w:numId w:val="18"/>
        </w:numPr>
        <w:spacing w:before="240" w:after="240" w:line="360" w:lineRule="auto"/>
        <w:ind w:right="196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lastRenderedPageBreak/>
        <w:t>DADOS DO MÉDICO SOLICITANTE</w:t>
      </w:r>
    </w:p>
    <w:p w14:paraId="5E35D0CD" w14:textId="65BBA4AF" w:rsidR="00D23881" w:rsidRPr="00467558" w:rsidRDefault="00D23881" w:rsidP="00BF2CC6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b/>
          <w:bCs/>
          <w:sz w:val="22"/>
          <w:szCs w:val="22"/>
        </w:rPr>
      </w:pPr>
      <w:r w:rsidRPr="00467558">
        <w:rPr>
          <w:rFonts w:asciiTheme="minorHAnsi" w:hAnsiTheme="minorHAnsi" w:cstheme="minorHAnsi"/>
          <w:b/>
          <w:bCs/>
          <w:sz w:val="22"/>
          <w:szCs w:val="22"/>
        </w:rPr>
        <w:t xml:space="preserve">Nome completo: </w:t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 xml:space="preserve">CRM-MG: </w:t>
      </w:r>
    </w:p>
    <w:p w14:paraId="55DBF80D" w14:textId="44BA3BF1" w:rsidR="00D23881" w:rsidRPr="00467558" w:rsidRDefault="00D23881" w:rsidP="0032023B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467558">
        <w:rPr>
          <w:rFonts w:asciiTheme="minorHAnsi" w:hAnsiTheme="minorHAnsi" w:cstheme="minorHAnsi"/>
          <w:b/>
          <w:bCs/>
          <w:sz w:val="22"/>
          <w:szCs w:val="22"/>
        </w:rPr>
        <w:t xml:space="preserve">Especialidade: </w:t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>RQE:</w:t>
      </w:r>
    </w:p>
    <w:p w14:paraId="72C7E994" w14:textId="77777777" w:rsidR="00D23881" w:rsidRPr="00B274DE" w:rsidRDefault="00D23881" w:rsidP="00D23881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Instituição: </w:t>
      </w:r>
    </w:p>
    <w:p w14:paraId="7A58D151" w14:textId="77777777" w:rsidR="00D23881" w:rsidRPr="00B274DE" w:rsidRDefault="00D23881" w:rsidP="00D23881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Telefone de contato: </w:t>
      </w:r>
    </w:p>
    <w:p w14:paraId="3C6308B0" w14:textId="77777777" w:rsidR="00D23881" w:rsidRDefault="00D23881" w:rsidP="00D23881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E-mail institucional para retorno do formulário</w:t>
      </w:r>
      <w:r w:rsidRPr="00B274D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0F9E7DA" w14:textId="77777777" w:rsidR="004F773F" w:rsidRDefault="004F773F" w:rsidP="00D23881">
      <w:pPr>
        <w:spacing w:before="240" w:after="240"/>
        <w:ind w:right="-568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10FF2" w14:textId="1584CA00" w:rsidR="00D23881" w:rsidRPr="00B274DE" w:rsidRDefault="00D23881" w:rsidP="00AC6330">
      <w:pPr>
        <w:pStyle w:val="PargrafodaLista"/>
        <w:numPr>
          <w:ilvl w:val="0"/>
          <w:numId w:val="18"/>
        </w:numPr>
        <w:spacing w:before="240" w:after="240" w:line="360" w:lineRule="auto"/>
        <w:ind w:right="196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DECLARAÇÃO DO MÉDICO SOLICITANTE</w:t>
      </w:r>
    </w:p>
    <w:p w14:paraId="46DD7FBF" w14:textId="315664ED" w:rsidR="00D23881" w:rsidRDefault="00D23881" w:rsidP="003D2B3C">
      <w:p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ED0AC6">
        <w:rPr>
          <w:rFonts w:asciiTheme="minorHAnsi" w:hAnsiTheme="minorHAnsi" w:cstheme="minorHAnsi"/>
          <w:sz w:val="22"/>
          <w:szCs w:val="22"/>
        </w:rPr>
        <w:t xml:space="preserve">Declaro que as informações acima são verdadeiras e que o paciente se enquadra nos critérios para solicitação de </w:t>
      </w:r>
      <w:proofErr w:type="spellStart"/>
      <w:r w:rsidRPr="00ED0AC6">
        <w:rPr>
          <w:rFonts w:asciiTheme="minorHAnsi" w:hAnsiTheme="minorHAnsi" w:cstheme="minorHAnsi"/>
          <w:sz w:val="22"/>
          <w:szCs w:val="22"/>
        </w:rPr>
        <w:t>plasmaférese</w:t>
      </w:r>
      <w:proofErr w:type="spellEnd"/>
      <w:r w:rsidRPr="00ED0AC6">
        <w:rPr>
          <w:rFonts w:asciiTheme="minorHAnsi" w:hAnsiTheme="minorHAnsi" w:cstheme="minorHAnsi"/>
          <w:sz w:val="22"/>
          <w:szCs w:val="22"/>
        </w:rPr>
        <w:t xml:space="preserve"> terapêutica conforme </w:t>
      </w:r>
      <w:r w:rsidR="000B4166" w:rsidRPr="000B4166">
        <w:rPr>
          <w:rFonts w:asciiTheme="minorHAnsi" w:hAnsiTheme="minorHAnsi" w:cstheme="minorHAnsi"/>
          <w:sz w:val="22"/>
          <w:szCs w:val="22"/>
        </w:rPr>
        <w:t>RESOLUÇÃO SES/MG Nº 11.011, DE 09 DE ABRIL DE 2026</w:t>
      </w:r>
      <w:r w:rsidR="00057086">
        <w:rPr>
          <w:rFonts w:asciiTheme="minorHAnsi" w:hAnsiTheme="minorHAnsi" w:cstheme="minorHAnsi"/>
          <w:sz w:val="22"/>
          <w:szCs w:val="22"/>
        </w:rPr>
        <w:t xml:space="preserve"> e </w:t>
      </w:r>
      <w:r w:rsidR="00057086" w:rsidRPr="00057086">
        <w:rPr>
          <w:rFonts w:asciiTheme="minorHAnsi" w:hAnsiTheme="minorHAnsi" w:cstheme="minorHAnsi"/>
          <w:sz w:val="22"/>
          <w:szCs w:val="22"/>
        </w:rPr>
        <w:t xml:space="preserve">PTO-T.AHH.AFE-24 </w:t>
      </w:r>
      <w:r w:rsidR="00283897">
        <w:rPr>
          <w:rFonts w:asciiTheme="minorHAnsi" w:hAnsiTheme="minorHAnsi" w:cstheme="minorHAnsi"/>
          <w:sz w:val="22"/>
          <w:szCs w:val="22"/>
        </w:rPr>
        <w:t xml:space="preserve">Protocolo de </w:t>
      </w:r>
      <w:proofErr w:type="spellStart"/>
      <w:r w:rsidR="00057086" w:rsidRPr="00057086">
        <w:rPr>
          <w:rFonts w:asciiTheme="minorHAnsi" w:hAnsiTheme="minorHAnsi" w:cstheme="minorHAnsi"/>
          <w:sz w:val="22"/>
          <w:szCs w:val="22"/>
        </w:rPr>
        <w:t>Plasmaférese</w:t>
      </w:r>
      <w:proofErr w:type="spellEnd"/>
      <w:r w:rsidR="00057086" w:rsidRPr="00057086">
        <w:rPr>
          <w:rFonts w:asciiTheme="minorHAnsi" w:hAnsiTheme="minorHAnsi" w:cstheme="minorHAnsi"/>
          <w:sz w:val="22"/>
          <w:szCs w:val="22"/>
        </w:rPr>
        <w:t xml:space="preserve"> terapêutica Doenças Raras</w:t>
      </w:r>
      <w:r w:rsidR="00057086">
        <w:rPr>
          <w:rFonts w:asciiTheme="minorHAnsi" w:hAnsiTheme="minorHAnsi" w:cstheme="minorHAnsi"/>
          <w:sz w:val="22"/>
          <w:szCs w:val="22"/>
        </w:rPr>
        <w:t xml:space="preserve"> </w:t>
      </w:r>
      <w:r w:rsidR="00283897">
        <w:rPr>
          <w:rFonts w:asciiTheme="minorHAnsi" w:hAnsiTheme="minorHAnsi" w:cstheme="minorHAnsi"/>
          <w:sz w:val="22"/>
          <w:szCs w:val="22"/>
        </w:rPr>
        <w:t xml:space="preserve">da </w:t>
      </w:r>
      <w:r w:rsidR="00057086">
        <w:rPr>
          <w:rFonts w:asciiTheme="minorHAnsi" w:hAnsiTheme="minorHAnsi" w:cstheme="minorHAnsi"/>
          <w:sz w:val="22"/>
          <w:szCs w:val="22"/>
        </w:rPr>
        <w:t>Fundação Hemominas</w:t>
      </w:r>
    </w:p>
    <w:p w14:paraId="3A7A8B25" w14:textId="77777777" w:rsidR="00D23881" w:rsidRPr="00B274DE" w:rsidRDefault="00D23881" w:rsidP="00D23881">
      <w:pPr>
        <w:pStyle w:val="PargrafodaLista"/>
        <w:numPr>
          <w:ilvl w:val="0"/>
          <w:numId w:val="15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Local e data: </w:t>
      </w:r>
    </w:p>
    <w:p w14:paraId="0A38CC3B" w14:textId="77777777" w:rsidR="00D23881" w:rsidRPr="00AC6330" w:rsidRDefault="00D23881" w:rsidP="00D23881">
      <w:pPr>
        <w:pStyle w:val="PargrafodaLista"/>
        <w:numPr>
          <w:ilvl w:val="0"/>
          <w:numId w:val="15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Assinatura do médico solicitante: </w:t>
      </w:r>
    </w:p>
    <w:p w14:paraId="792EECC8" w14:textId="77777777" w:rsidR="00AC6330" w:rsidRPr="00B274DE" w:rsidRDefault="00AC6330" w:rsidP="00AC6330">
      <w:pPr>
        <w:pStyle w:val="PargrafodaLista"/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</w:p>
    <w:sectPr w:rsidR="00AC6330" w:rsidRPr="00B274DE" w:rsidSect="00007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F34D1" w14:textId="77777777" w:rsidR="00B20BAA" w:rsidRDefault="00B20BAA" w:rsidP="00001A76">
      <w:r>
        <w:separator/>
      </w:r>
    </w:p>
  </w:endnote>
  <w:endnote w:type="continuationSeparator" w:id="0">
    <w:p w14:paraId="6B2769D2" w14:textId="77777777" w:rsidR="00B20BAA" w:rsidRDefault="00B20BAA" w:rsidP="0000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7125F" w14:textId="77777777" w:rsidR="00260489" w:rsidRDefault="002604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FF50" w14:textId="13C4A6E4" w:rsidR="0005734D" w:rsidRPr="00D01104" w:rsidRDefault="004915B5" w:rsidP="00001A76">
    <w:pPr>
      <w:pStyle w:val="Rodap"/>
      <w:jc w:val="right"/>
      <w:rPr>
        <w:rFonts w:ascii="Arial" w:hAnsi="Arial" w:cs="Arial"/>
        <w:sz w:val="18"/>
        <w:szCs w:val="18"/>
      </w:rPr>
    </w:pPr>
    <w:r w:rsidRPr="00C960FF">
      <w:rPr>
        <w:rFonts w:ascii="Arial" w:hAnsi="Arial" w:cs="Arial"/>
        <w:sz w:val="18"/>
        <w:szCs w:val="18"/>
      </w:rPr>
      <w:fldChar w:fldCharType="begin"/>
    </w:r>
    <w:r w:rsidR="0005734D" w:rsidRPr="00C960FF">
      <w:rPr>
        <w:rFonts w:ascii="Arial" w:hAnsi="Arial" w:cs="Arial"/>
        <w:sz w:val="18"/>
        <w:szCs w:val="18"/>
      </w:rPr>
      <w:instrText xml:space="preserve"> PAGE   \* MERGEFORMAT </w:instrText>
    </w:r>
    <w:r w:rsidRPr="00C960FF">
      <w:rPr>
        <w:rFonts w:ascii="Arial" w:hAnsi="Arial" w:cs="Arial"/>
        <w:sz w:val="18"/>
        <w:szCs w:val="18"/>
      </w:rPr>
      <w:fldChar w:fldCharType="separate"/>
    </w:r>
    <w:r w:rsidR="00F03CFF">
      <w:rPr>
        <w:rFonts w:ascii="Arial" w:hAnsi="Arial" w:cs="Arial"/>
        <w:noProof/>
        <w:sz w:val="18"/>
        <w:szCs w:val="18"/>
      </w:rPr>
      <w:t>2</w:t>
    </w:r>
    <w:r w:rsidRPr="00C960FF">
      <w:rPr>
        <w:rFonts w:ascii="Arial" w:hAnsi="Arial" w:cs="Arial"/>
        <w:noProof/>
        <w:sz w:val="18"/>
        <w:szCs w:val="18"/>
      </w:rPr>
      <w:fldChar w:fldCharType="end"/>
    </w:r>
    <w:r w:rsidR="0005734D" w:rsidRPr="00C960FF">
      <w:rPr>
        <w:rFonts w:ascii="Arial" w:hAnsi="Arial" w:cs="Arial"/>
        <w:sz w:val="18"/>
        <w:szCs w:val="18"/>
      </w:rPr>
      <w:t xml:space="preserve"> de </w:t>
    </w:r>
    <w:r w:rsidR="00ED0AC6">
      <w:rPr>
        <w:rFonts w:ascii="Arial" w:hAnsi="Arial" w:cs="Arial"/>
        <w:sz w:val="18"/>
        <w:szCs w:val="18"/>
      </w:rPr>
      <w:t>3</w:t>
    </w:r>
  </w:p>
  <w:p w14:paraId="2DECE836" w14:textId="2A455652" w:rsidR="00D72763" w:rsidRPr="0084763F" w:rsidRDefault="00751F1B" w:rsidP="00751F1B">
    <w:pPr>
      <w:pStyle w:val="Rodap"/>
      <w:spacing w:line="276" w:lineRule="auto"/>
      <w:rPr>
        <w:rFonts w:ascii="Arial" w:hAnsi="Arial" w:cs="Arial"/>
        <w:b/>
        <w:sz w:val="14"/>
        <w:szCs w:val="18"/>
      </w:rPr>
    </w:pPr>
    <w:r w:rsidRPr="0084763F">
      <w:rPr>
        <w:rFonts w:ascii="Arial" w:hAnsi="Arial" w:cs="Arial"/>
        <w:b/>
        <w:sz w:val="14"/>
        <w:szCs w:val="18"/>
      </w:rPr>
      <w:t>FMNP-T.</w:t>
    </w:r>
    <w:r w:rsidR="00574F94" w:rsidRPr="0084763F">
      <w:rPr>
        <w:rFonts w:ascii="Arial" w:hAnsi="Arial" w:cs="Arial"/>
        <w:b/>
        <w:sz w:val="14"/>
        <w:szCs w:val="18"/>
      </w:rPr>
      <w:t>AHH</w:t>
    </w:r>
    <w:r w:rsidR="0084763F" w:rsidRPr="0084763F">
      <w:rPr>
        <w:rFonts w:ascii="Arial" w:hAnsi="Arial" w:cs="Arial"/>
        <w:b/>
        <w:sz w:val="14"/>
        <w:szCs w:val="18"/>
      </w:rPr>
      <w:t>.AFE</w:t>
    </w:r>
    <w:r w:rsidR="00260489">
      <w:rPr>
        <w:rFonts w:ascii="Arial" w:hAnsi="Arial" w:cs="Arial"/>
        <w:b/>
        <w:sz w:val="14"/>
        <w:szCs w:val="18"/>
      </w:rPr>
      <w:t>-</w:t>
    </w:r>
    <w:bookmarkStart w:id="1" w:name="_GoBack"/>
    <w:bookmarkEnd w:id="1"/>
    <w:r w:rsidRPr="0084763F">
      <w:rPr>
        <w:rFonts w:ascii="Arial" w:hAnsi="Arial" w:cs="Arial"/>
        <w:b/>
        <w:sz w:val="14"/>
        <w:szCs w:val="18"/>
      </w:rPr>
      <w:t>4</w:t>
    </w:r>
    <w:r w:rsidR="0084763F" w:rsidRPr="0084763F">
      <w:rPr>
        <w:rFonts w:ascii="Arial" w:hAnsi="Arial" w:cs="Arial"/>
        <w:b/>
        <w:sz w:val="14"/>
        <w:szCs w:val="18"/>
      </w:rPr>
      <w:t>0</w:t>
    </w:r>
    <w:r w:rsidR="00E00F9B">
      <w:rPr>
        <w:rFonts w:ascii="Arial" w:hAnsi="Arial" w:cs="Arial"/>
        <w:b/>
        <w:sz w:val="14"/>
        <w:szCs w:val="18"/>
      </w:rPr>
      <w:t>1</w:t>
    </w:r>
    <w:r w:rsidR="00BB13D6" w:rsidRPr="0084763F">
      <w:rPr>
        <w:rFonts w:ascii="Arial" w:hAnsi="Arial" w:cs="Arial"/>
        <w:b/>
        <w:sz w:val="14"/>
        <w:szCs w:val="18"/>
      </w:rPr>
      <w:t xml:space="preserve"> VERSÃO 0</w:t>
    </w:r>
    <w:r w:rsidR="00052AB9">
      <w:rPr>
        <w:rFonts w:ascii="Arial" w:hAnsi="Arial" w:cs="Arial"/>
        <w:b/>
        <w:sz w:val="14"/>
        <w:szCs w:val="18"/>
      </w:rPr>
      <w:t>0</w:t>
    </w:r>
    <w:r w:rsidR="00BB13D6" w:rsidRPr="0084763F">
      <w:rPr>
        <w:rFonts w:ascii="Arial" w:hAnsi="Arial" w:cs="Arial"/>
        <w:b/>
        <w:sz w:val="14"/>
        <w:szCs w:val="18"/>
      </w:rPr>
      <w:t xml:space="preserve"> – </w:t>
    </w:r>
    <w:r w:rsidR="00262BD2" w:rsidRPr="0084763F">
      <w:rPr>
        <w:rFonts w:ascii="Arial" w:hAnsi="Arial" w:cs="Arial"/>
        <w:b/>
        <w:sz w:val="14"/>
        <w:szCs w:val="18"/>
      </w:rPr>
      <w:t>MA</w:t>
    </w:r>
    <w:r w:rsidR="0084763F" w:rsidRPr="0084763F">
      <w:rPr>
        <w:rFonts w:ascii="Arial" w:hAnsi="Arial" w:cs="Arial"/>
        <w:b/>
        <w:sz w:val="14"/>
        <w:szCs w:val="18"/>
      </w:rPr>
      <w:t>IO</w:t>
    </w:r>
    <w:r w:rsidR="00AA7ECC" w:rsidRPr="0084763F">
      <w:rPr>
        <w:rFonts w:ascii="Arial" w:hAnsi="Arial" w:cs="Arial"/>
        <w:b/>
        <w:sz w:val="14"/>
        <w:szCs w:val="18"/>
      </w:rPr>
      <w:t>/202</w:t>
    </w:r>
    <w:r w:rsidR="00262BD2" w:rsidRPr="0084763F">
      <w:rPr>
        <w:rFonts w:ascii="Arial" w:hAnsi="Arial" w:cs="Arial"/>
        <w:b/>
        <w:sz w:val="14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8FDB6" w14:textId="77777777" w:rsidR="00260489" w:rsidRDefault="002604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262D3" w14:textId="77777777" w:rsidR="00B20BAA" w:rsidRDefault="00B20BAA" w:rsidP="00001A76">
      <w:r>
        <w:separator/>
      </w:r>
    </w:p>
  </w:footnote>
  <w:footnote w:type="continuationSeparator" w:id="0">
    <w:p w14:paraId="3628C841" w14:textId="77777777" w:rsidR="00B20BAA" w:rsidRDefault="00B20BAA" w:rsidP="0000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26114" w14:textId="77777777" w:rsidR="00260489" w:rsidRDefault="002604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95"/>
      <w:gridCol w:w="1843"/>
    </w:tblGrid>
    <w:tr w:rsidR="00850B8C" w:rsidRPr="00BB05A0" w14:paraId="59865ECF" w14:textId="77777777" w:rsidTr="001F3FC3">
      <w:trPr>
        <w:cantSplit/>
        <w:trHeight w:val="907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bookmarkStart w:id="0" w:name="_Hlk37745764"/>
        <w:p w14:paraId="76558844" w14:textId="77777777" w:rsidR="00850B8C" w:rsidRPr="00BB05A0" w:rsidRDefault="0065719E" w:rsidP="00850B8C">
          <w:pPr>
            <w:ind w:left="-108"/>
            <w:jc w:val="center"/>
            <w:rPr>
              <w:rFonts w:ascii="Arial" w:hAnsi="Arial" w:cs="Arial"/>
              <w:b/>
            </w:rPr>
          </w:pPr>
          <w:r w:rsidRPr="00BB05A0">
            <w:rPr>
              <w:noProof/>
            </w:rPr>
            <w:object w:dxaOrig="3178" w:dyaOrig="2255" w14:anchorId="21077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6.25pt;height:57.7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40863059" r:id="rId2"/>
            </w:object>
          </w:r>
        </w:p>
      </w:tc>
      <w:tc>
        <w:tcPr>
          <w:tcW w:w="609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A599E73" w14:textId="2BB11F75" w:rsidR="00850B8C" w:rsidRPr="00BB05A0" w:rsidRDefault="001C2D60" w:rsidP="00850B8C">
          <w:pPr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Solicitação inicial de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plasmaférese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terapêutica </w:t>
          </w:r>
          <w:r w:rsidR="00D23881">
            <w:rPr>
              <w:rFonts w:ascii="Arial" w:hAnsi="Arial" w:cs="Arial"/>
              <w:b/>
              <w:sz w:val="22"/>
              <w:szCs w:val="22"/>
            </w:rPr>
            <w:t xml:space="preserve">– Pacientes com </w:t>
          </w:r>
          <w:r w:rsidR="007B2F43">
            <w:rPr>
              <w:rFonts w:ascii="Arial" w:hAnsi="Arial" w:cs="Arial"/>
              <w:b/>
              <w:sz w:val="22"/>
              <w:szCs w:val="22"/>
            </w:rPr>
            <w:t xml:space="preserve">Doenças do Espectro da </w:t>
          </w:r>
          <w:proofErr w:type="spellStart"/>
          <w:r w:rsidR="00D23881">
            <w:rPr>
              <w:rFonts w:ascii="Arial" w:hAnsi="Arial" w:cs="Arial"/>
              <w:b/>
              <w:sz w:val="22"/>
              <w:szCs w:val="22"/>
            </w:rPr>
            <w:t>Neuromielite</w:t>
          </w:r>
          <w:proofErr w:type="spellEnd"/>
          <w:r w:rsidR="00D23881">
            <w:rPr>
              <w:rFonts w:ascii="Arial" w:hAnsi="Arial" w:cs="Arial"/>
              <w:b/>
              <w:sz w:val="22"/>
              <w:szCs w:val="22"/>
            </w:rPr>
            <w:t xml:space="preserve"> Óp</w:t>
          </w:r>
          <w:r w:rsidR="007B2F43">
            <w:rPr>
              <w:rFonts w:ascii="Arial" w:hAnsi="Arial" w:cs="Arial"/>
              <w:b/>
              <w:sz w:val="22"/>
              <w:szCs w:val="22"/>
            </w:rPr>
            <w:t>tica</w:t>
          </w:r>
          <w:r w:rsidR="00013F13">
            <w:rPr>
              <w:rFonts w:ascii="Arial" w:hAnsi="Arial" w:cs="Arial"/>
              <w:b/>
              <w:sz w:val="22"/>
              <w:szCs w:val="22"/>
            </w:rPr>
            <w:t xml:space="preserve"> - NMOSD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B208475" w14:textId="53A4BBD3" w:rsidR="00850B8C" w:rsidRPr="00BB05A0" w:rsidRDefault="00850B8C" w:rsidP="00850B8C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6CD201B" wp14:editId="19119C45">
                <wp:extent cx="831850" cy="539750"/>
                <wp:effectExtent l="0" t="0" r="6350" b="0"/>
                <wp:docPr id="1466549653" name="Imagem 14665496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0B8C" w:rsidRPr="00BB05A0" w14:paraId="63160CE6" w14:textId="77777777" w:rsidTr="001F3FC3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F01108" w14:textId="77777777" w:rsidR="00850B8C" w:rsidRPr="00BB05A0" w:rsidRDefault="00850B8C" w:rsidP="00850B8C">
          <w:pPr>
            <w:ind w:left="-108"/>
            <w:jc w:val="center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CA0D9D" w14:textId="77777777" w:rsidR="00850B8C" w:rsidRDefault="00850B8C" w:rsidP="00850B8C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7BD453C" w14:textId="2D06291C" w:rsidR="00850B8C" w:rsidRPr="00BB05A0" w:rsidRDefault="00850B8C" w:rsidP="00850B8C">
          <w:pPr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Pr="009F6296">
            <w:rPr>
              <w:rFonts w:ascii="Arial" w:hAnsi="Arial" w:cs="Arial"/>
              <w:color w:val="000000" w:themeColor="text1"/>
              <w:sz w:val="20"/>
              <w:szCs w:val="20"/>
            </w:rPr>
            <w:t>333</w:t>
          </w:r>
        </w:p>
      </w:tc>
    </w:tr>
    <w:bookmarkEnd w:id="0"/>
  </w:tbl>
  <w:p w14:paraId="3DE12EBD" w14:textId="77777777" w:rsidR="0005734D" w:rsidRPr="00751F1B" w:rsidRDefault="0005734D">
    <w:pPr>
      <w:pStyle w:val="Cabealho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4E3C" w14:textId="77777777" w:rsidR="00260489" w:rsidRDefault="002604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8E6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54D8B"/>
    <w:multiLevelType w:val="hybridMultilevel"/>
    <w:tmpl w:val="32CC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2BC"/>
    <w:multiLevelType w:val="hybridMultilevel"/>
    <w:tmpl w:val="CF4EA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2827"/>
    <w:multiLevelType w:val="hybridMultilevel"/>
    <w:tmpl w:val="1EA4D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3DC2"/>
    <w:multiLevelType w:val="hybridMultilevel"/>
    <w:tmpl w:val="CB389854"/>
    <w:lvl w:ilvl="0" w:tplc="D6CE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E1A39"/>
    <w:multiLevelType w:val="hybridMultilevel"/>
    <w:tmpl w:val="44A83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4743A"/>
    <w:multiLevelType w:val="hybridMultilevel"/>
    <w:tmpl w:val="4EB26BF6"/>
    <w:lvl w:ilvl="0" w:tplc="2946B9B8">
      <w:start w:val="1"/>
      <w:numFmt w:val="bullet"/>
      <w:lvlText w:val="●"/>
      <w:lvlJc w:val="left"/>
      <w:pPr>
        <w:ind w:left="720" w:hanging="360"/>
      </w:pPr>
    </w:lvl>
    <w:lvl w:ilvl="1" w:tplc="54F24158">
      <w:start w:val="1"/>
      <w:numFmt w:val="bullet"/>
      <w:lvlText w:val="○"/>
      <w:lvlJc w:val="left"/>
      <w:pPr>
        <w:ind w:left="1440" w:hanging="360"/>
      </w:pPr>
    </w:lvl>
    <w:lvl w:ilvl="2" w:tplc="1946EDCA">
      <w:start w:val="1"/>
      <w:numFmt w:val="bullet"/>
      <w:lvlText w:val="■"/>
      <w:lvlJc w:val="left"/>
      <w:pPr>
        <w:ind w:left="2160" w:hanging="360"/>
      </w:pPr>
    </w:lvl>
    <w:lvl w:ilvl="3" w:tplc="EA7AD928">
      <w:start w:val="1"/>
      <w:numFmt w:val="bullet"/>
      <w:lvlText w:val="●"/>
      <w:lvlJc w:val="left"/>
      <w:pPr>
        <w:ind w:left="2880" w:hanging="360"/>
      </w:pPr>
    </w:lvl>
    <w:lvl w:ilvl="4" w:tplc="5360EDF4">
      <w:start w:val="1"/>
      <w:numFmt w:val="bullet"/>
      <w:lvlText w:val="○"/>
      <w:lvlJc w:val="left"/>
      <w:pPr>
        <w:ind w:left="3600" w:hanging="360"/>
      </w:pPr>
    </w:lvl>
    <w:lvl w:ilvl="5" w:tplc="72303808">
      <w:start w:val="1"/>
      <w:numFmt w:val="bullet"/>
      <w:lvlText w:val="■"/>
      <w:lvlJc w:val="left"/>
      <w:pPr>
        <w:ind w:left="4320" w:hanging="360"/>
      </w:pPr>
    </w:lvl>
    <w:lvl w:ilvl="6" w:tplc="F2EA89EA">
      <w:start w:val="1"/>
      <w:numFmt w:val="bullet"/>
      <w:lvlText w:val="●"/>
      <w:lvlJc w:val="left"/>
      <w:pPr>
        <w:ind w:left="5040" w:hanging="360"/>
      </w:pPr>
    </w:lvl>
    <w:lvl w:ilvl="7" w:tplc="38C2EAFC">
      <w:start w:val="1"/>
      <w:numFmt w:val="bullet"/>
      <w:lvlText w:val="●"/>
      <w:lvlJc w:val="left"/>
      <w:pPr>
        <w:ind w:left="5760" w:hanging="360"/>
      </w:pPr>
    </w:lvl>
    <w:lvl w:ilvl="8" w:tplc="5202A640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1DC77F9E"/>
    <w:multiLevelType w:val="hybridMultilevel"/>
    <w:tmpl w:val="4AAA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6E36"/>
    <w:multiLevelType w:val="hybridMultilevel"/>
    <w:tmpl w:val="AB404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55214"/>
    <w:multiLevelType w:val="hybridMultilevel"/>
    <w:tmpl w:val="F0F0A7F2"/>
    <w:lvl w:ilvl="0" w:tplc="BB30D87E">
      <w:start w:val="1"/>
      <w:numFmt w:val="decimal"/>
      <w:lvlText w:val="%1)"/>
      <w:lvlJc w:val="left"/>
      <w:pPr>
        <w:ind w:left="720" w:hanging="360"/>
      </w:pPr>
      <w:rPr>
        <w:rFonts w:eastAsia="Calibri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B608A"/>
    <w:multiLevelType w:val="hybridMultilevel"/>
    <w:tmpl w:val="C0287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50BE"/>
    <w:multiLevelType w:val="hybridMultilevel"/>
    <w:tmpl w:val="91C0D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F2B91"/>
    <w:multiLevelType w:val="hybridMultilevel"/>
    <w:tmpl w:val="141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42AF4"/>
    <w:multiLevelType w:val="hybridMultilevel"/>
    <w:tmpl w:val="056A221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B95D69"/>
    <w:multiLevelType w:val="hybridMultilevel"/>
    <w:tmpl w:val="EA0685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0B79"/>
    <w:multiLevelType w:val="hybridMultilevel"/>
    <w:tmpl w:val="BA1C6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30EAA"/>
    <w:multiLevelType w:val="hybridMultilevel"/>
    <w:tmpl w:val="606EB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108FA"/>
    <w:multiLevelType w:val="hybridMultilevel"/>
    <w:tmpl w:val="145EE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B53EA"/>
    <w:multiLevelType w:val="hybridMultilevel"/>
    <w:tmpl w:val="DD42E754"/>
    <w:lvl w:ilvl="0" w:tplc="09288D3A">
      <w:start w:val="1"/>
      <w:numFmt w:val="bullet"/>
      <w:lvlText w:val="●"/>
      <w:lvlJc w:val="left"/>
      <w:pPr>
        <w:ind w:left="720" w:hanging="360"/>
      </w:pPr>
    </w:lvl>
    <w:lvl w:ilvl="1" w:tplc="69C2A04C">
      <w:start w:val="1"/>
      <w:numFmt w:val="bullet"/>
      <w:lvlText w:val="○"/>
      <w:lvlJc w:val="left"/>
      <w:pPr>
        <w:ind w:left="1440" w:hanging="360"/>
      </w:pPr>
    </w:lvl>
    <w:lvl w:ilvl="2" w:tplc="28B8609A">
      <w:start w:val="1"/>
      <w:numFmt w:val="bullet"/>
      <w:lvlText w:val="■"/>
      <w:lvlJc w:val="left"/>
      <w:pPr>
        <w:ind w:left="2160" w:hanging="360"/>
      </w:pPr>
    </w:lvl>
    <w:lvl w:ilvl="3" w:tplc="4DF6524C">
      <w:start w:val="1"/>
      <w:numFmt w:val="bullet"/>
      <w:lvlText w:val="●"/>
      <w:lvlJc w:val="left"/>
      <w:pPr>
        <w:ind w:left="2880" w:hanging="360"/>
      </w:pPr>
    </w:lvl>
    <w:lvl w:ilvl="4" w:tplc="C4DE0D32">
      <w:start w:val="1"/>
      <w:numFmt w:val="bullet"/>
      <w:lvlText w:val="○"/>
      <w:lvlJc w:val="left"/>
      <w:pPr>
        <w:ind w:left="3600" w:hanging="360"/>
      </w:pPr>
    </w:lvl>
    <w:lvl w:ilvl="5" w:tplc="8AD6AE22">
      <w:start w:val="1"/>
      <w:numFmt w:val="bullet"/>
      <w:lvlText w:val="■"/>
      <w:lvlJc w:val="left"/>
      <w:pPr>
        <w:ind w:left="4320" w:hanging="360"/>
      </w:pPr>
    </w:lvl>
    <w:lvl w:ilvl="6" w:tplc="E8E429B0">
      <w:start w:val="1"/>
      <w:numFmt w:val="bullet"/>
      <w:lvlText w:val="●"/>
      <w:lvlJc w:val="left"/>
      <w:pPr>
        <w:ind w:left="5040" w:hanging="360"/>
      </w:pPr>
    </w:lvl>
    <w:lvl w:ilvl="7" w:tplc="8A0A2FB8">
      <w:start w:val="1"/>
      <w:numFmt w:val="bullet"/>
      <w:lvlText w:val="●"/>
      <w:lvlJc w:val="left"/>
      <w:pPr>
        <w:ind w:left="5760" w:hanging="360"/>
      </w:pPr>
    </w:lvl>
    <w:lvl w:ilvl="8" w:tplc="ED044432">
      <w:start w:val="1"/>
      <w:numFmt w:val="bullet"/>
      <w:lvlText w:val="●"/>
      <w:lvlJc w:val="left"/>
      <w:pPr>
        <w:ind w:left="6480" w:hanging="360"/>
      </w:pPr>
    </w:lvl>
  </w:abstractNum>
  <w:abstractNum w:abstractNumId="19" w15:restartNumberingAfterBreak="0">
    <w:nsid w:val="7407774D"/>
    <w:multiLevelType w:val="hybridMultilevel"/>
    <w:tmpl w:val="22987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E89"/>
    <w:multiLevelType w:val="hybridMultilevel"/>
    <w:tmpl w:val="D52EC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17"/>
  </w:num>
  <w:num w:numId="10">
    <w:abstractNumId w:val="16"/>
  </w:num>
  <w:num w:numId="11">
    <w:abstractNumId w:val="11"/>
  </w:num>
  <w:num w:numId="12">
    <w:abstractNumId w:val="8"/>
  </w:num>
  <w:num w:numId="13">
    <w:abstractNumId w:val="5"/>
  </w:num>
  <w:num w:numId="14">
    <w:abstractNumId w:val="7"/>
  </w:num>
  <w:num w:numId="15">
    <w:abstractNumId w:val="20"/>
  </w:num>
  <w:num w:numId="16">
    <w:abstractNumId w:val="2"/>
  </w:num>
  <w:num w:numId="17">
    <w:abstractNumId w:val="15"/>
  </w:num>
  <w:num w:numId="18">
    <w:abstractNumId w:val="19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7"/>
    <w:rsid w:val="00001A76"/>
    <w:rsid w:val="000070E8"/>
    <w:rsid w:val="00013F13"/>
    <w:rsid w:val="0002334F"/>
    <w:rsid w:val="000245DC"/>
    <w:rsid w:val="00033DDC"/>
    <w:rsid w:val="0004683D"/>
    <w:rsid w:val="00052AB9"/>
    <w:rsid w:val="00057086"/>
    <w:rsid w:val="0005734D"/>
    <w:rsid w:val="00060DE3"/>
    <w:rsid w:val="000651C5"/>
    <w:rsid w:val="00076257"/>
    <w:rsid w:val="0008425A"/>
    <w:rsid w:val="000B4166"/>
    <w:rsid w:val="000C5FBE"/>
    <w:rsid w:val="000D7F6C"/>
    <w:rsid w:val="000F2071"/>
    <w:rsid w:val="00100B02"/>
    <w:rsid w:val="001134A2"/>
    <w:rsid w:val="00124B14"/>
    <w:rsid w:val="00177148"/>
    <w:rsid w:val="00182468"/>
    <w:rsid w:val="001838EC"/>
    <w:rsid w:val="001842FF"/>
    <w:rsid w:val="0019337D"/>
    <w:rsid w:val="0019538D"/>
    <w:rsid w:val="00197E1C"/>
    <w:rsid w:val="001A30DD"/>
    <w:rsid w:val="001A7202"/>
    <w:rsid w:val="001C2D60"/>
    <w:rsid w:val="001D41EA"/>
    <w:rsid w:val="001E4C21"/>
    <w:rsid w:val="001F3FC3"/>
    <w:rsid w:val="00215D3A"/>
    <w:rsid w:val="00215EEB"/>
    <w:rsid w:val="00244F57"/>
    <w:rsid w:val="0024604A"/>
    <w:rsid w:val="00253AAA"/>
    <w:rsid w:val="0025528B"/>
    <w:rsid w:val="002554B1"/>
    <w:rsid w:val="0025776F"/>
    <w:rsid w:val="00260489"/>
    <w:rsid w:val="00262BD2"/>
    <w:rsid w:val="00267447"/>
    <w:rsid w:val="0027593D"/>
    <w:rsid w:val="0028357D"/>
    <w:rsid w:val="00283897"/>
    <w:rsid w:val="00284A4D"/>
    <w:rsid w:val="002A2BE9"/>
    <w:rsid w:val="002A48AE"/>
    <w:rsid w:val="002A5D7B"/>
    <w:rsid w:val="002A6B46"/>
    <w:rsid w:val="002C632D"/>
    <w:rsid w:val="002F1A35"/>
    <w:rsid w:val="003007D2"/>
    <w:rsid w:val="003152D3"/>
    <w:rsid w:val="00333D50"/>
    <w:rsid w:val="00336272"/>
    <w:rsid w:val="00350425"/>
    <w:rsid w:val="003724E5"/>
    <w:rsid w:val="00377288"/>
    <w:rsid w:val="00382E64"/>
    <w:rsid w:val="003A605B"/>
    <w:rsid w:val="003B036D"/>
    <w:rsid w:val="003B6C7A"/>
    <w:rsid w:val="003C59CE"/>
    <w:rsid w:val="003D2B3C"/>
    <w:rsid w:val="003E405D"/>
    <w:rsid w:val="00403396"/>
    <w:rsid w:val="0041192D"/>
    <w:rsid w:val="00417042"/>
    <w:rsid w:val="004222BB"/>
    <w:rsid w:val="00432DCC"/>
    <w:rsid w:val="004348E7"/>
    <w:rsid w:val="004613BA"/>
    <w:rsid w:val="00466603"/>
    <w:rsid w:val="00467558"/>
    <w:rsid w:val="004915B5"/>
    <w:rsid w:val="004B312A"/>
    <w:rsid w:val="004B379D"/>
    <w:rsid w:val="004C058A"/>
    <w:rsid w:val="004C333C"/>
    <w:rsid w:val="004D250B"/>
    <w:rsid w:val="004E58C2"/>
    <w:rsid w:val="004F0255"/>
    <w:rsid w:val="004F773F"/>
    <w:rsid w:val="00506B77"/>
    <w:rsid w:val="00511539"/>
    <w:rsid w:val="00511D9C"/>
    <w:rsid w:val="00513A7E"/>
    <w:rsid w:val="00524C54"/>
    <w:rsid w:val="00531F81"/>
    <w:rsid w:val="0054354D"/>
    <w:rsid w:val="00556A7A"/>
    <w:rsid w:val="00574F94"/>
    <w:rsid w:val="00575AC6"/>
    <w:rsid w:val="00591FE5"/>
    <w:rsid w:val="005A31F1"/>
    <w:rsid w:val="005B6438"/>
    <w:rsid w:val="005F40C8"/>
    <w:rsid w:val="00614764"/>
    <w:rsid w:val="00625799"/>
    <w:rsid w:val="006260E4"/>
    <w:rsid w:val="00630253"/>
    <w:rsid w:val="00631F83"/>
    <w:rsid w:val="00640216"/>
    <w:rsid w:val="0064515A"/>
    <w:rsid w:val="00654838"/>
    <w:rsid w:val="0065719E"/>
    <w:rsid w:val="00691370"/>
    <w:rsid w:val="00695ECF"/>
    <w:rsid w:val="006A74DD"/>
    <w:rsid w:val="006B5AC7"/>
    <w:rsid w:val="006D3A4D"/>
    <w:rsid w:val="006D74D6"/>
    <w:rsid w:val="007044DA"/>
    <w:rsid w:val="007056FB"/>
    <w:rsid w:val="00710661"/>
    <w:rsid w:val="00717541"/>
    <w:rsid w:val="0072170D"/>
    <w:rsid w:val="007237C1"/>
    <w:rsid w:val="00725DCB"/>
    <w:rsid w:val="007369A5"/>
    <w:rsid w:val="00742498"/>
    <w:rsid w:val="00742B7C"/>
    <w:rsid w:val="00751F1B"/>
    <w:rsid w:val="00751F50"/>
    <w:rsid w:val="00756BFE"/>
    <w:rsid w:val="0077055A"/>
    <w:rsid w:val="00772DAB"/>
    <w:rsid w:val="00780244"/>
    <w:rsid w:val="0078410F"/>
    <w:rsid w:val="007946A8"/>
    <w:rsid w:val="00797913"/>
    <w:rsid w:val="007A2B87"/>
    <w:rsid w:val="007A518A"/>
    <w:rsid w:val="007A70ED"/>
    <w:rsid w:val="007B2F43"/>
    <w:rsid w:val="007D40FC"/>
    <w:rsid w:val="007D4E9E"/>
    <w:rsid w:val="007E44A6"/>
    <w:rsid w:val="007E4669"/>
    <w:rsid w:val="007F4D9E"/>
    <w:rsid w:val="008019BE"/>
    <w:rsid w:val="008164F1"/>
    <w:rsid w:val="00817874"/>
    <w:rsid w:val="008205AD"/>
    <w:rsid w:val="00825DAF"/>
    <w:rsid w:val="00832119"/>
    <w:rsid w:val="00835B59"/>
    <w:rsid w:val="008367B5"/>
    <w:rsid w:val="00837847"/>
    <w:rsid w:val="00840737"/>
    <w:rsid w:val="00844D6D"/>
    <w:rsid w:val="00844F38"/>
    <w:rsid w:val="0084763F"/>
    <w:rsid w:val="00850B8C"/>
    <w:rsid w:val="00851721"/>
    <w:rsid w:val="00854085"/>
    <w:rsid w:val="00854779"/>
    <w:rsid w:val="00855613"/>
    <w:rsid w:val="00860369"/>
    <w:rsid w:val="0088541A"/>
    <w:rsid w:val="00891085"/>
    <w:rsid w:val="008A6D19"/>
    <w:rsid w:val="008B1CFC"/>
    <w:rsid w:val="008B250C"/>
    <w:rsid w:val="008B52CC"/>
    <w:rsid w:val="008B71B0"/>
    <w:rsid w:val="008F0E81"/>
    <w:rsid w:val="00904B6B"/>
    <w:rsid w:val="00913B0F"/>
    <w:rsid w:val="0093541E"/>
    <w:rsid w:val="00942284"/>
    <w:rsid w:val="009530F6"/>
    <w:rsid w:val="00963B27"/>
    <w:rsid w:val="009661FB"/>
    <w:rsid w:val="0098022F"/>
    <w:rsid w:val="00980978"/>
    <w:rsid w:val="00981A3F"/>
    <w:rsid w:val="009A085A"/>
    <w:rsid w:val="009A37C9"/>
    <w:rsid w:val="009A5221"/>
    <w:rsid w:val="009B195B"/>
    <w:rsid w:val="009B1C52"/>
    <w:rsid w:val="009C6D87"/>
    <w:rsid w:val="009D5984"/>
    <w:rsid w:val="009E27CC"/>
    <w:rsid w:val="009F6296"/>
    <w:rsid w:val="00A13A3E"/>
    <w:rsid w:val="00A15656"/>
    <w:rsid w:val="00A20782"/>
    <w:rsid w:val="00A2317E"/>
    <w:rsid w:val="00A24F88"/>
    <w:rsid w:val="00A318D3"/>
    <w:rsid w:val="00A34E29"/>
    <w:rsid w:val="00A350EF"/>
    <w:rsid w:val="00A40129"/>
    <w:rsid w:val="00A4129D"/>
    <w:rsid w:val="00A41DDC"/>
    <w:rsid w:val="00A54E4B"/>
    <w:rsid w:val="00A6153E"/>
    <w:rsid w:val="00A70663"/>
    <w:rsid w:val="00A76C5C"/>
    <w:rsid w:val="00A8070B"/>
    <w:rsid w:val="00A80FCB"/>
    <w:rsid w:val="00A8720C"/>
    <w:rsid w:val="00A92E5E"/>
    <w:rsid w:val="00A93267"/>
    <w:rsid w:val="00AA44C1"/>
    <w:rsid w:val="00AA7ECC"/>
    <w:rsid w:val="00AB7893"/>
    <w:rsid w:val="00AC11A5"/>
    <w:rsid w:val="00AC2093"/>
    <w:rsid w:val="00AC338F"/>
    <w:rsid w:val="00AC6330"/>
    <w:rsid w:val="00AD291D"/>
    <w:rsid w:val="00B0157D"/>
    <w:rsid w:val="00B06164"/>
    <w:rsid w:val="00B106B3"/>
    <w:rsid w:val="00B14442"/>
    <w:rsid w:val="00B20BAA"/>
    <w:rsid w:val="00B274DE"/>
    <w:rsid w:val="00B357D3"/>
    <w:rsid w:val="00B4170F"/>
    <w:rsid w:val="00B5120F"/>
    <w:rsid w:val="00B52F6A"/>
    <w:rsid w:val="00B56D92"/>
    <w:rsid w:val="00B65CCF"/>
    <w:rsid w:val="00B72053"/>
    <w:rsid w:val="00BA309F"/>
    <w:rsid w:val="00BB13D6"/>
    <w:rsid w:val="00BC2921"/>
    <w:rsid w:val="00BE1A1E"/>
    <w:rsid w:val="00BE6F3E"/>
    <w:rsid w:val="00C12586"/>
    <w:rsid w:val="00C204E3"/>
    <w:rsid w:val="00C2404B"/>
    <w:rsid w:val="00C244A9"/>
    <w:rsid w:val="00C27F19"/>
    <w:rsid w:val="00C37938"/>
    <w:rsid w:val="00C40C20"/>
    <w:rsid w:val="00C4159F"/>
    <w:rsid w:val="00C53E86"/>
    <w:rsid w:val="00C674FE"/>
    <w:rsid w:val="00C6794D"/>
    <w:rsid w:val="00C81BBF"/>
    <w:rsid w:val="00C82894"/>
    <w:rsid w:val="00C960FF"/>
    <w:rsid w:val="00CB293B"/>
    <w:rsid w:val="00D01104"/>
    <w:rsid w:val="00D179E8"/>
    <w:rsid w:val="00D23881"/>
    <w:rsid w:val="00D37C1A"/>
    <w:rsid w:val="00D64F20"/>
    <w:rsid w:val="00D72763"/>
    <w:rsid w:val="00D72A9A"/>
    <w:rsid w:val="00D758ED"/>
    <w:rsid w:val="00D902CF"/>
    <w:rsid w:val="00D96C7A"/>
    <w:rsid w:val="00D97430"/>
    <w:rsid w:val="00DC09C9"/>
    <w:rsid w:val="00DC1B9D"/>
    <w:rsid w:val="00DC754A"/>
    <w:rsid w:val="00DC7A8D"/>
    <w:rsid w:val="00DD4484"/>
    <w:rsid w:val="00DE4F16"/>
    <w:rsid w:val="00DF2A72"/>
    <w:rsid w:val="00DF6EA0"/>
    <w:rsid w:val="00E00F9B"/>
    <w:rsid w:val="00E045E5"/>
    <w:rsid w:val="00E2100C"/>
    <w:rsid w:val="00E26773"/>
    <w:rsid w:val="00E51AEB"/>
    <w:rsid w:val="00E64E26"/>
    <w:rsid w:val="00E67C30"/>
    <w:rsid w:val="00E84447"/>
    <w:rsid w:val="00E8600E"/>
    <w:rsid w:val="00E87A50"/>
    <w:rsid w:val="00E91FEC"/>
    <w:rsid w:val="00E9731D"/>
    <w:rsid w:val="00EA4AA0"/>
    <w:rsid w:val="00ED0AC6"/>
    <w:rsid w:val="00ED674F"/>
    <w:rsid w:val="00EF241F"/>
    <w:rsid w:val="00EF434C"/>
    <w:rsid w:val="00EF56B6"/>
    <w:rsid w:val="00F00979"/>
    <w:rsid w:val="00F03CFF"/>
    <w:rsid w:val="00F2499F"/>
    <w:rsid w:val="00F25D5F"/>
    <w:rsid w:val="00F27C50"/>
    <w:rsid w:val="00F345F6"/>
    <w:rsid w:val="00F35060"/>
    <w:rsid w:val="00F52176"/>
    <w:rsid w:val="00F6028E"/>
    <w:rsid w:val="00F74096"/>
    <w:rsid w:val="00F76C42"/>
    <w:rsid w:val="00F942DD"/>
    <w:rsid w:val="00F96A8A"/>
    <w:rsid w:val="00F96E0A"/>
    <w:rsid w:val="00FB2DDF"/>
    <w:rsid w:val="00FC599D"/>
    <w:rsid w:val="00FD6691"/>
    <w:rsid w:val="00FD7534"/>
    <w:rsid w:val="00FE3C17"/>
    <w:rsid w:val="00FF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F4FF8"/>
  <w15:docId w15:val="{D441D214-48D8-4437-8A03-FEB479E5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257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link w:val="Ttulo3Char"/>
    <w:uiPriority w:val="9"/>
    <w:unhideWhenUsed/>
    <w:qFormat/>
    <w:rsid w:val="001C2D60"/>
    <w:pPr>
      <w:spacing w:before="240" w:after="120" w:line="276" w:lineRule="auto"/>
      <w:outlineLvl w:val="2"/>
    </w:pPr>
    <w:rPr>
      <w:rFonts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3211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2119"/>
  </w:style>
  <w:style w:type="character" w:customStyle="1" w:styleId="TextodecomentrioChar">
    <w:name w:val="Texto de comentário Char"/>
    <w:link w:val="Textodecomentrio"/>
    <w:uiPriority w:val="99"/>
    <w:semiHidden/>
    <w:rsid w:val="00832119"/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1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2119"/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1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119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SemEspaamento">
    <w:name w:val="No Spacing"/>
    <w:uiPriority w:val="1"/>
    <w:qFormat/>
    <w:rsid w:val="00C81BB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C6D8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04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2404B"/>
    <w:rPr>
      <w:lang w:eastAsia="en-US"/>
    </w:rPr>
  </w:style>
  <w:style w:type="character" w:styleId="Refdenotaderodap">
    <w:name w:val="footnote reference"/>
    <w:uiPriority w:val="99"/>
    <w:semiHidden/>
    <w:unhideWhenUsed/>
    <w:rsid w:val="00C2404B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1C2D60"/>
    <w:rPr>
      <w:rFonts w:cs="Calibri"/>
      <w:b/>
      <w:bCs/>
      <w:sz w:val="28"/>
      <w:szCs w:val="28"/>
    </w:rPr>
  </w:style>
  <w:style w:type="table" w:styleId="Tabelacomgrade">
    <w:name w:val="Table Grid"/>
    <w:basedOn w:val="Tabelanormal"/>
    <w:uiPriority w:val="39"/>
    <w:rsid w:val="00D23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11813983</dc:creator>
  <cp:lastModifiedBy>Ademir Luiz de Freitas Miranda</cp:lastModifiedBy>
  <cp:revision>2</cp:revision>
  <dcterms:created xsi:type="dcterms:W3CDTF">2026-05-21T13:05:00Z</dcterms:created>
  <dcterms:modified xsi:type="dcterms:W3CDTF">2026-05-21T13:05:00Z</dcterms:modified>
</cp:coreProperties>
</file>