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DE99B" w14:textId="5005B665" w:rsidR="002700F5" w:rsidRPr="00C0022A" w:rsidRDefault="006B644F" w:rsidP="0057736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/>
          <w:sz w:val="26"/>
          <w:szCs w:val="26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 5º 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>CHAMAMENTO PÚBLICO</w:t>
      </w:r>
    </w:p>
    <w:p w14:paraId="59679003" w14:textId="2AD02204" w:rsidR="002700F5" w:rsidRPr="00C0022A" w:rsidRDefault="002700F5" w:rsidP="0057736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/>
          <w:b/>
          <w:bCs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>Situação Emergencial Gerada pelo Surto de Febre Amarela</w:t>
      </w:r>
    </w:p>
    <w:p w14:paraId="1DEFA599" w14:textId="77777777" w:rsidR="005817BE" w:rsidRPr="00C0022A" w:rsidRDefault="005817BE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750C9F7A" w14:textId="0E7B0157" w:rsidR="002700F5" w:rsidRPr="00C0022A" w:rsidRDefault="007230CD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hAnsiTheme="minorHAnsi"/>
          <w:sz w:val="26"/>
          <w:szCs w:val="26"/>
        </w:rPr>
        <w:t>A Presidente da Fundação Centro de Hematologia e Hemoterapia de Minas Gerais – FUNDAÇÃO HEMOMINAS,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TORNA PÚBLICO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que estará aberto o Chamamento Público, das </w:t>
      </w:r>
      <w:r w:rsidR="002700F5" w:rsidRPr="00C0022A">
        <w:rPr>
          <w:rFonts w:asciiTheme="minorHAnsi" w:eastAsiaTheme="minorHAnsi" w:hAnsiTheme="minorHAnsi"/>
          <w:sz w:val="26"/>
          <w:szCs w:val="26"/>
          <w:u w:val="single"/>
          <w:lang w:eastAsia="en-US"/>
        </w:rPr>
        <w:t xml:space="preserve">09h00min às 16h30min dos dias </w:t>
      </w:r>
      <w:r w:rsidR="00460B6B">
        <w:rPr>
          <w:rFonts w:asciiTheme="minorHAnsi" w:eastAsiaTheme="minorHAnsi" w:hAnsiTheme="minorHAnsi"/>
          <w:sz w:val="26"/>
          <w:szCs w:val="26"/>
          <w:u w:val="single"/>
          <w:lang w:eastAsia="en-US"/>
        </w:rPr>
        <w:t>10,11 e 1</w:t>
      </w:r>
      <w:r w:rsidR="001A671C">
        <w:rPr>
          <w:rFonts w:asciiTheme="minorHAnsi" w:eastAsiaTheme="minorHAnsi" w:hAnsiTheme="minorHAnsi"/>
          <w:sz w:val="26"/>
          <w:szCs w:val="26"/>
          <w:u w:val="single"/>
          <w:lang w:eastAsia="en-US"/>
        </w:rPr>
        <w:t>2/05/</w:t>
      </w:r>
      <w:r w:rsidR="002700F5" w:rsidRPr="00C0022A">
        <w:rPr>
          <w:rFonts w:asciiTheme="minorHAnsi" w:eastAsiaTheme="minorHAnsi" w:hAnsiTheme="minorHAnsi"/>
          <w:sz w:val="26"/>
          <w:szCs w:val="26"/>
          <w:u w:val="single"/>
          <w:lang w:eastAsia="en-US"/>
        </w:rPr>
        <w:t>2017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(horário de Brasília), por meio do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recebimento de currículos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visando a contratação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temporária e imediata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de profissionais </w:t>
      </w:r>
      <w:r w:rsidR="007D3FCA" w:rsidRPr="00C0022A">
        <w:rPr>
          <w:rFonts w:asciiTheme="minorHAnsi" w:hAnsiTheme="minorHAnsi"/>
          <w:sz w:val="26"/>
          <w:szCs w:val="26"/>
        </w:rPr>
        <w:t xml:space="preserve">nas funções de </w:t>
      </w:r>
      <w:r w:rsidR="007D3FCA" w:rsidRPr="00C0022A">
        <w:rPr>
          <w:rStyle w:val="Forte"/>
          <w:rFonts w:asciiTheme="minorHAnsi" w:hAnsiTheme="minorHAnsi"/>
          <w:sz w:val="26"/>
          <w:szCs w:val="26"/>
        </w:rPr>
        <w:t xml:space="preserve">Médico Clínico </w:t>
      </w:r>
      <w:r w:rsidR="007D3FCA" w:rsidRPr="00C0022A">
        <w:rPr>
          <w:rFonts w:asciiTheme="minorHAnsi" w:hAnsiTheme="minorHAnsi"/>
          <w:sz w:val="26"/>
          <w:szCs w:val="26"/>
        </w:rPr>
        <w:t>para atuarem no Hemocentro Regional de Governador Valadares</w:t>
      </w:r>
      <w:r w:rsidR="00A6279E">
        <w:rPr>
          <w:rFonts w:asciiTheme="minorHAnsi" w:hAnsiTheme="minorHAnsi"/>
          <w:sz w:val="26"/>
          <w:szCs w:val="26"/>
        </w:rPr>
        <w:t>.</w:t>
      </w:r>
      <w:r w:rsidR="00B50438">
        <w:rPr>
          <w:rFonts w:asciiTheme="minorHAnsi" w:hAnsiTheme="minorHAnsi"/>
          <w:sz w:val="26"/>
          <w:szCs w:val="26"/>
        </w:rPr>
        <w:t xml:space="preserve">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Todas as informações necessárias ao cadastramento dos interessados, estão dispostas abaixo: </w:t>
      </w:r>
    </w:p>
    <w:p w14:paraId="472E499E" w14:textId="77777777" w:rsidR="00C0022A" w:rsidRDefault="00C0022A" w:rsidP="00577362">
      <w:pPr>
        <w:pStyle w:val="PargrafodaLista"/>
        <w:tabs>
          <w:tab w:val="left" w:pos="-1440"/>
          <w:tab w:val="left" w:pos="426"/>
        </w:tabs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087E458D" w14:textId="75427111" w:rsidR="00C0022A" w:rsidRP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Esta contratação se dará por meio de assinatura de contrato administrativo por prazo determinado de prestação de serviços técnicos especializados na área de saúde de acordo com o estabelecido </w:t>
      </w:r>
      <w:r w:rsidR="00A135B4">
        <w:rPr>
          <w:rFonts w:asciiTheme="minorHAnsi" w:eastAsiaTheme="minorHAnsi" w:hAnsiTheme="minorHAnsi"/>
          <w:sz w:val="26"/>
          <w:szCs w:val="26"/>
          <w:lang w:eastAsia="en-US"/>
        </w:rPr>
        <w:t xml:space="preserve">no art. 2º, inciso I, da 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Lei 18.185/2009 e no Decreto nº 45.155/2009, </w:t>
      </w:r>
      <w:r w:rsidR="00A135B4">
        <w:rPr>
          <w:rFonts w:asciiTheme="minorHAnsi" w:eastAsiaTheme="minorHAnsi" w:hAnsiTheme="minorHAnsi"/>
          <w:sz w:val="26"/>
          <w:szCs w:val="26"/>
          <w:lang w:eastAsia="en-US"/>
        </w:rPr>
        <w:t>e suas respectivas alterações, bem como Decreto com numeração especial nº20, de 12/01/2017.</w:t>
      </w:r>
    </w:p>
    <w:p w14:paraId="59B72471" w14:textId="77777777" w:rsidR="00C0022A" w:rsidRDefault="00C0022A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07EE376B" w14:textId="626E31B5" w:rsidR="005468A6" w:rsidRPr="005468A6" w:rsidRDefault="005468A6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>
        <w:rPr>
          <w:rFonts w:asciiTheme="minorHAnsi" w:eastAsiaTheme="minorHAnsi" w:hAnsiTheme="minorHAnsi"/>
          <w:sz w:val="26"/>
          <w:szCs w:val="26"/>
          <w:lang w:eastAsia="en-US"/>
        </w:rPr>
        <w:t xml:space="preserve">Este Chamamento </w:t>
      </w:r>
      <w:r w:rsidRPr="005468A6">
        <w:rPr>
          <w:rFonts w:asciiTheme="minorHAnsi" w:eastAsiaTheme="minorHAnsi" w:hAnsiTheme="minorHAnsi"/>
          <w:sz w:val="26"/>
          <w:szCs w:val="26"/>
          <w:lang w:eastAsia="en-US"/>
        </w:rPr>
        <w:t xml:space="preserve">será regido por este </w:t>
      </w:r>
      <w:r>
        <w:rPr>
          <w:rFonts w:asciiTheme="minorHAnsi" w:eastAsiaTheme="minorHAnsi" w:hAnsiTheme="minorHAnsi"/>
          <w:sz w:val="26"/>
          <w:szCs w:val="26"/>
          <w:lang w:eastAsia="en-US"/>
        </w:rPr>
        <w:t>Regulamento</w:t>
      </w:r>
      <w:r w:rsidRPr="005468A6">
        <w:rPr>
          <w:rFonts w:asciiTheme="minorHAnsi" w:eastAsiaTheme="minorHAnsi" w:hAnsiTheme="minorHAnsi"/>
          <w:sz w:val="26"/>
          <w:szCs w:val="26"/>
          <w:lang w:eastAsia="en-US"/>
        </w:rPr>
        <w:t>, seus Anexos, e por posteriores comunicados.</w:t>
      </w:r>
    </w:p>
    <w:p w14:paraId="4881ACAB" w14:textId="77777777" w:rsidR="005468A6" w:rsidRPr="005468A6" w:rsidRDefault="005468A6" w:rsidP="00577362">
      <w:pPr>
        <w:pStyle w:val="PargrafodaLista"/>
        <w:spacing w:line="360" w:lineRule="auto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7D2B91BA" w14:textId="10F89B8E" w:rsidR="007D3FCA" w:rsidRPr="00B50438" w:rsidRDefault="002700F5" w:rsidP="00B50438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>Somente serão considerados aptos a participarem desta seleção, os candidatos que a</w:t>
      </w:r>
      <w:r w:rsidR="00B50438">
        <w:rPr>
          <w:rFonts w:asciiTheme="minorHAnsi" w:eastAsiaTheme="minorHAnsi" w:hAnsiTheme="minorHAnsi"/>
          <w:sz w:val="26"/>
          <w:szCs w:val="26"/>
          <w:lang w:eastAsia="en-US"/>
        </w:rPr>
        <w:t xml:space="preserve">presentarem como pré-requisito </w:t>
      </w:r>
      <w:r w:rsidR="00A6279E" w:rsidRPr="00B50438">
        <w:rPr>
          <w:rFonts w:asciiTheme="minorHAnsi" w:eastAsiaTheme="minorHAnsi" w:hAnsiTheme="minorHAnsi"/>
          <w:sz w:val="26"/>
          <w:szCs w:val="26"/>
          <w:lang w:eastAsia="en-US"/>
        </w:rPr>
        <w:t xml:space="preserve">para a </w:t>
      </w:r>
      <w:r w:rsidR="007D3FCA" w:rsidRPr="00B50438">
        <w:rPr>
          <w:rFonts w:asciiTheme="minorHAnsi" w:eastAsiaTheme="minorHAnsi" w:hAnsiTheme="minorHAnsi"/>
          <w:sz w:val="26"/>
          <w:szCs w:val="26"/>
          <w:lang w:eastAsia="en-US"/>
        </w:rPr>
        <w:t>função de Médico Clínico: Curso superior completo de Medicina e registro no conselho de classe.</w:t>
      </w:r>
    </w:p>
    <w:p w14:paraId="608B6111" w14:textId="77777777" w:rsidR="00C0022A" w:rsidRPr="00C0022A" w:rsidRDefault="00C0022A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36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350F38AC" w14:textId="77777777" w:rsidR="00C0022A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Os candidatos que não apresentarem os comprovantes relativos ao pré-requisito, serão automaticamente excluídos do processo. </w:t>
      </w:r>
    </w:p>
    <w:p w14:paraId="3E97F37A" w14:textId="77777777" w:rsidR="00577362" w:rsidRDefault="00577362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1442E18D" w14:textId="77777777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lastRenderedPageBreak/>
        <w:t xml:space="preserve">Além dos pré-requisitos, os candidatos deverão enviar o currículo padrão constante no 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>Anexo I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, bem como, cópia de </w:t>
      </w:r>
      <w:r w:rsidRPr="00AE2906">
        <w:rPr>
          <w:rFonts w:asciiTheme="minorHAnsi" w:eastAsiaTheme="minorHAnsi" w:hAnsiTheme="minorHAnsi"/>
          <w:bCs/>
          <w:sz w:val="26"/>
          <w:szCs w:val="26"/>
          <w:u w:val="single"/>
          <w:lang w:eastAsia="en-US"/>
        </w:rPr>
        <w:t>todos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 xml:space="preserve"> 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os comprovantes relativos as informações prestadas pelo candidato, no ato do preenchimento do currículo padrão. </w:t>
      </w:r>
    </w:p>
    <w:p w14:paraId="666475D2" w14:textId="77777777" w:rsidR="00577362" w:rsidRPr="00AE2906" w:rsidRDefault="00577362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0C8B065" w14:textId="77777777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Os candidatos que não apresentarem o currículo devidamente preenchido e assinado, conforme modelo do 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>Anexo I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, serão automaticamente excluídos do processo. </w:t>
      </w:r>
    </w:p>
    <w:p w14:paraId="5D57653E" w14:textId="77777777" w:rsidR="00A6279E" w:rsidRDefault="00A6279E" w:rsidP="00A6279E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45A7338" w14:textId="77777777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Somente serão aceitos, os documentos entregues em 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>envelope lacrado e identificado com o nome completo do candidato e a função para a qual está se inscrevendo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. </w:t>
      </w:r>
    </w:p>
    <w:p w14:paraId="72C5ECF9" w14:textId="77777777" w:rsidR="00577362" w:rsidRDefault="00577362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29B8CC43" w14:textId="2C744C29" w:rsidR="00AE2906" w:rsidRDefault="00A135B4" w:rsidP="00577362">
      <w:pPr>
        <w:pStyle w:val="PargrafodaLista"/>
        <w:numPr>
          <w:ilvl w:val="1"/>
          <w:numId w:val="2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sz w:val="26"/>
          <w:szCs w:val="26"/>
          <w:lang w:eastAsia="en-US"/>
        </w:rPr>
      </w:pPr>
      <w:r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2700F5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A entrega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deverá </w:t>
      </w:r>
      <w:r w:rsidR="002700F5" w:rsidRPr="00AE2906">
        <w:rPr>
          <w:rFonts w:asciiTheme="minorHAnsi" w:eastAsiaTheme="minorHAnsi" w:hAnsiTheme="minorHAnsi"/>
          <w:sz w:val="26"/>
          <w:szCs w:val="26"/>
          <w:lang w:eastAsia="en-US"/>
        </w:rPr>
        <w:t>ocorrer</w:t>
      </w:r>
      <w:r w:rsidR="003D4176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 pessoalmente na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3D4176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respectiva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Unidade, </w:t>
      </w:r>
      <w:r w:rsid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conforme </w:t>
      </w:r>
      <w:r w:rsidR="00AE2906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quadro abaixo,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>na data e horário estabelecidos neste</w:t>
      </w:r>
      <w:r w:rsidR="00621434"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 xml:space="preserve"> Chamamento Público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>, com o currículo preenchido e assinado, juntamente com o comprovante da habilita</w:t>
      </w:r>
      <w:r w:rsidR="00555683">
        <w:rPr>
          <w:rFonts w:asciiTheme="minorHAnsi" w:eastAsiaTheme="minorHAnsi" w:hAnsiTheme="minorHAnsi"/>
          <w:sz w:val="26"/>
          <w:szCs w:val="26"/>
          <w:lang w:eastAsia="en-US"/>
        </w:rPr>
        <w:t xml:space="preserve">ção exigida como pré-requisito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>e cópia de todos os comprovantes relativos as informações prestadas pelo candidato, no ato do preenchimento do Currículo Padrão.</w:t>
      </w:r>
    </w:p>
    <w:tbl>
      <w:tblPr>
        <w:tblW w:w="8365" w:type="dxa"/>
        <w:jc w:val="center"/>
        <w:tblCellSpacing w:w="20" w:type="dxa"/>
        <w:tblLook w:val="00A0" w:firstRow="1" w:lastRow="0" w:firstColumn="1" w:lastColumn="0" w:noHBand="0" w:noVBand="0"/>
      </w:tblPr>
      <w:tblGrid>
        <w:gridCol w:w="3114"/>
        <w:gridCol w:w="1701"/>
        <w:gridCol w:w="3550"/>
      </w:tblGrid>
      <w:tr w:rsidR="00AE2906" w:rsidRPr="00C0022A" w14:paraId="08189884" w14:textId="77777777" w:rsidTr="00AE2906">
        <w:trPr>
          <w:tblCellSpacing w:w="20" w:type="dxa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36570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C0022A">
              <w:rPr>
                <w:rFonts w:asciiTheme="minorHAnsi" w:hAnsiTheme="minorHAnsi"/>
                <w:b/>
                <w:sz w:val="26"/>
                <w:szCs w:val="26"/>
              </w:rPr>
              <w:t>UNIDADE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5267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C0022A">
              <w:rPr>
                <w:rFonts w:asciiTheme="minorHAnsi" w:hAnsiTheme="minorHAnsi"/>
                <w:b/>
                <w:sz w:val="26"/>
                <w:szCs w:val="26"/>
              </w:rPr>
              <w:t>MUNICÍPIO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5A8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C0022A">
              <w:rPr>
                <w:rFonts w:asciiTheme="minorHAnsi" w:hAnsiTheme="minorHAnsi"/>
                <w:b/>
                <w:sz w:val="26"/>
                <w:szCs w:val="26"/>
              </w:rPr>
              <w:t>ENDEREÇO DA UNIDADE</w:t>
            </w:r>
          </w:p>
        </w:tc>
      </w:tr>
      <w:tr w:rsidR="00AE2906" w:rsidRPr="00C0022A" w14:paraId="2C939E1D" w14:textId="77777777" w:rsidTr="00AE2906">
        <w:trPr>
          <w:tblCellSpacing w:w="20" w:type="dxa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FA232" w14:textId="3CDFC7BC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C0022A">
              <w:rPr>
                <w:rFonts w:asciiTheme="minorHAnsi" w:hAnsiTheme="minorHAnsi"/>
                <w:sz w:val="26"/>
                <w:szCs w:val="26"/>
              </w:rPr>
              <w:t>H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emocentro </w:t>
            </w:r>
            <w:r w:rsidRPr="00C0022A">
              <w:rPr>
                <w:rFonts w:asciiTheme="minorHAnsi" w:hAnsiTheme="minorHAnsi"/>
                <w:sz w:val="26"/>
                <w:szCs w:val="26"/>
              </w:rPr>
              <w:t>R</w:t>
            </w:r>
            <w:r>
              <w:rPr>
                <w:rFonts w:asciiTheme="minorHAnsi" w:hAnsiTheme="minorHAnsi"/>
                <w:sz w:val="26"/>
                <w:szCs w:val="26"/>
              </w:rPr>
              <w:t>egional de</w:t>
            </w:r>
            <w:r w:rsidRPr="00C0022A">
              <w:rPr>
                <w:rFonts w:asciiTheme="minorHAnsi" w:hAnsiTheme="minorHAnsi"/>
                <w:sz w:val="26"/>
                <w:szCs w:val="26"/>
              </w:rPr>
              <w:t xml:space="preserve"> Governador Valadares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3261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C0022A">
              <w:rPr>
                <w:rFonts w:asciiTheme="minorHAnsi" w:hAnsiTheme="minorHAnsi"/>
                <w:sz w:val="26"/>
                <w:szCs w:val="26"/>
              </w:rPr>
              <w:t>Governador Valadares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163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C0022A">
              <w:rPr>
                <w:rFonts w:asciiTheme="minorHAnsi" w:hAnsiTheme="minorHAnsi"/>
                <w:sz w:val="26"/>
                <w:szCs w:val="26"/>
              </w:rPr>
              <w:t>Rua Barão do Rio Branco ,707 – Bairro Centro</w:t>
            </w:r>
          </w:p>
        </w:tc>
      </w:tr>
    </w:tbl>
    <w:p w14:paraId="27508002" w14:textId="77777777" w:rsidR="00523563" w:rsidRPr="00C0022A" w:rsidRDefault="00523563" w:rsidP="00577362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09DF7706" w14:textId="3337902B" w:rsidR="003D4176" w:rsidRPr="00073409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O quadro de vagas ofertadas neste chamamento estará disponível </w:t>
      </w:r>
      <w:r w:rsidRPr="00073409">
        <w:rPr>
          <w:rFonts w:asciiTheme="minorHAnsi" w:eastAsiaTheme="minorHAnsi" w:hAnsiTheme="minorHAnsi"/>
          <w:sz w:val="26"/>
          <w:szCs w:val="26"/>
          <w:lang w:eastAsia="en-US"/>
        </w:rPr>
        <w:t xml:space="preserve">no Anexo II. </w:t>
      </w:r>
    </w:p>
    <w:p w14:paraId="63B729A9" w14:textId="77777777" w:rsidR="002700F5" w:rsidRPr="00C0022A" w:rsidRDefault="002700F5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6"/>
          <w:szCs w:val="26"/>
          <w:lang w:eastAsia="en-US"/>
        </w:rPr>
      </w:pPr>
    </w:p>
    <w:p w14:paraId="113883E9" w14:textId="745B8591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Os critérios de classificação e desempate estão estabelecidos no 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>Anexo I</w:t>
      </w:r>
      <w:r w:rsidR="005468A6">
        <w:rPr>
          <w:rFonts w:asciiTheme="minorHAnsi" w:eastAsiaTheme="minorHAnsi" w:hAnsiTheme="minorHAnsi"/>
          <w:sz w:val="26"/>
          <w:szCs w:val="26"/>
          <w:lang w:eastAsia="en-US"/>
        </w:rPr>
        <w:t>II</w:t>
      </w:r>
      <w:r w:rsidR="00DD66C3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DD66C3" w:rsidRPr="00C0022A">
        <w:rPr>
          <w:rFonts w:asciiTheme="minorHAnsi" w:eastAsiaTheme="minorHAnsi" w:hAnsiTheme="minorHAnsi"/>
          <w:sz w:val="26"/>
          <w:szCs w:val="26"/>
          <w:lang w:eastAsia="en-US"/>
        </w:rPr>
        <w:t>para a função de Médico Clínico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. </w:t>
      </w:r>
    </w:p>
    <w:p w14:paraId="2E210A6A" w14:textId="77777777" w:rsidR="00577362" w:rsidRPr="00A6279E" w:rsidRDefault="00577362" w:rsidP="00A6279E">
      <w:pPr>
        <w:spacing w:line="360" w:lineRule="auto"/>
        <w:rPr>
          <w:rFonts w:asciiTheme="minorHAnsi" w:hAnsiTheme="minorHAnsi"/>
          <w:sz w:val="26"/>
          <w:szCs w:val="26"/>
        </w:rPr>
      </w:pPr>
    </w:p>
    <w:p w14:paraId="66DD892E" w14:textId="40293AE4" w:rsidR="00C0022A" w:rsidRPr="00AE2906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lastRenderedPageBreak/>
        <w:t xml:space="preserve">Para contratação, o profissional deverá comprovar as seguintes condições: </w:t>
      </w:r>
    </w:p>
    <w:p w14:paraId="5BE487BF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a) ser brasileiro ou gozar das prerrogativas legais correspondentes;</w:t>
      </w:r>
    </w:p>
    <w:p w14:paraId="693882A6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b) ter idade mínima de 18 anos na data da publicação do edital;</w:t>
      </w:r>
    </w:p>
    <w:p w14:paraId="37F91975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c) estar quite com a justiça eleitoral;</w:t>
      </w:r>
    </w:p>
    <w:p w14:paraId="6A5280B5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d) estar quite com serviço militar;</w:t>
      </w:r>
    </w:p>
    <w:p w14:paraId="7A208C79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e) apresentar atestado de aptidão física e mental;</w:t>
      </w:r>
    </w:p>
    <w:p w14:paraId="4DB9ED4D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f) não ter sofrido, no exercício de função pública, penalidade incompatível com a nova investidura;</w:t>
      </w:r>
    </w:p>
    <w:p w14:paraId="70D179D0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g) não ser aposentado por invalidez; </w:t>
      </w:r>
    </w:p>
    <w:p w14:paraId="2F3B0E69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h) não ter sofrido limitação de funções;</w:t>
      </w:r>
    </w:p>
    <w:p w14:paraId="07A490B7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i) não ter vínculo, com a administração pública, suas autarquias e fundações, salvo nos casos de acumulação lícita, prevista no artigo 37 da Constituição Federal, ainda assim se houver compatibilidade de horários;</w:t>
      </w:r>
    </w:p>
    <w:p w14:paraId="4F50634B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j) comprovar habilitação específica para a categoria profissional para a qual foi selecionado.</w:t>
      </w:r>
    </w:p>
    <w:p w14:paraId="59FE1188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02F36DB8" w14:textId="00EA01E3" w:rsidR="00C0022A" w:rsidRPr="00AE2906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>O contratado será contribuinte do Regime Geral de Previdência Social e o contrato firmado é administrativo, não gerando vínculo empregatício de qualquer espécie entre o contratado e o Estado de Minas Gerais, seus órgãos, autarquias e fundações.</w:t>
      </w:r>
    </w:p>
    <w:p w14:paraId="4FC4E11E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4EFD1B5C" w14:textId="53194697" w:rsidR="00C0022A" w:rsidRPr="00C0022A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Para formalizar o contrato administrativo com a Hemominas o candidato selecionado deverá apresentar original e cópia Xerox de:</w:t>
      </w:r>
    </w:p>
    <w:p w14:paraId="5F0F72A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a) Carteira de Identidade; </w:t>
      </w:r>
    </w:p>
    <w:p w14:paraId="6EADA55D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b) CPF; </w:t>
      </w:r>
    </w:p>
    <w:p w14:paraId="16ADCBEF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c) Título Eleitoral e Último Comprovante de Votação; </w:t>
      </w:r>
    </w:p>
    <w:p w14:paraId="24756013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d) Comprovante de Endereço Residencial; </w:t>
      </w:r>
    </w:p>
    <w:p w14:paraId="45F380FC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lastRenderedPageBreak/>
        <w:t xml:space="preserve">e) Último contracheque da instituição de origem (se servidor de outra instituição do estado); </w:t>
      </w:r>
    </w:p>
    <w:p w14:paraId="29A81359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f) Diploma ou declaração de escolaridade; </w:t>
      </w:r>
    </w:p>
    <w:p w14:paraId="2FFB01F8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g) Registro em Conselho de Classe (se for o caso); </w:t>
      </w:r>
    </w:p>
    <w:p w14:paraId="4B874941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h) 2 fotografias 3x4 recentes; </w:t>
      </w:r>
    </w:p>
    <w:p w14:paraId="20122B5E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i) Cadastro no PIS/PASEP; </w:t>
      </w:r>
    </w:p>
    <w:p w14:paraId="74166613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 xml:space="preserve">j) Certidão dos filhos menores de 10 anos; </w:t>
      </w:r>
    </w:p>
    <w:p w14:paraId="1A56D83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>k) Declaração de Bens da última declaração do Imposto de Renda;</w:t>
      </w:r>
    </w:p>
    <w:p w14:paraId="10B0C238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>l) Resultado de Inspeção Médica (RIM) emitido pela Diretoria Central de Perícia Médica da SEPLAG (agendamento de exame admissional pelo Serviço de Saúde Ocupacional/ Hemominas);</w:t>
      </w:r>
    </w:p>
    <w:p w14:paraId="68179FD4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>m) Certificado de Reservista ou Dispensa de Incorporação, para candidatos do sexo masculino.</w:t>
      </w:r>
    </w:p>
    <w:p w14:paraId="6D5B7EC6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</w:p>
    <w:p w14:paraId="6A1B6E4F" w14:textId="2B32B367" w:rsidR="00C0022A" w:rsidRPr="00C0022A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Para submeter-se ao exame de aptidão física e mental a que se refere o item </w:t>
      </w:r>
      <w:r>
        <w:rPr>
          <w:rFonts w:asciiTheme="minorHAnsi" w:hAnsiTheme="minorHAnsi"/>
          <w:sz w:val="26"/>
          <w:szCs w:val="26"/>
        </w:rPr>
        <w:t>9,</w:t>
      </w:r>
      <w:r w:rsidRPr="00C0022A">
        <w:rPr>
          <w:rFonts w:asciiTheme="minorHAnsi" w:hAnsiTheme="minorHAnsi"/>
          <w:sz w:val="26"/>
          <w:szCs w:val="26"/>
        </w:rPr>
        <w:t xml:space="preserve"> deverá ser apresentada documentação original e cópia Xerox de: </w:t>
      </w:r>
    </w:p>
    <w:p w14:paraId="3963BA9F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a) Cartão de vacinação contra “Hepatite B” e “Dupla Adulto” (Difteria e Tétano);</w:t>
      </w:r>
    </w:p>
    <w:p w14:paraId="41FB2B25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b) Resultado dos seguintes exames complementares feitos às suas expensas: hemograma com contagem de plaquetas, glicemia de jejum, urina rotina;</w:t>
      </w:r>
    </w:p>
    <w:p w14:paraId="5BB30BEC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c) Resultado de anti-hbs quantitativo, para atuação na área técnica; </w:t>
      </w:r>
    </w:p>
    <w:p w14:paraId="7EDD42A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d) TSH;</w:t>
      </w:r>
    </w:p>
    <w:p w14:paraId="0952424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e) Radiografia simples do tórax, em PA e perfil, com laudo, para candidatos com 40 anos ou mais;</w:t>
      </w:r>
    </w:p>
    <w:p w14:paraId="33C485C4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f) eletrocardiograma (ECG), com laudo, para candidatos com 40 anos ou mais.</w:t>
      </w:r>
    </w:p>
    <w:p w14:paraId="154C74FD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3130DE02" w14:textId="3C3D0085" w:rsidR="00C0022A" w:rsidRPr="00C0022A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lastRenderedPageBreak/>
        <w:t>O candidato que não apresentar qualquer um dos documentos especificados no item anterior deste Edital, bem como não comprovar qualquer um dos requisitos para investidura na função, não poderá assinar o contrato.</w:t>
      </w:r>
    </w:p>
    <w:p w14:paraId="059DC7B8" w14:textId="77777777" w:rsidR="00DD66C3" w:rsidRPr="00C0022A" w:rsidRDefault="00DD66C3" w:rsidP="00577362">
      <w:pPr>
        <w:pStyle w:val="PargrafodaLista"/>
        <w:autoSpaceDE w:val="0"/>
        <w:autoSpaceDN w:val="0"/>
        <w:adjustRightInd w:val="0"/>
        <w:spacing w:line="360" w:lineRule="auto"/>
        <w:ind w:left="72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6040737" w14:textId="345136C7" w:rsidR="002700F5" w:rsidRP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>Estará impedido de assinar o contrato, e automaticamente desclassificado, o selecionado que deixar de apresentar qualquer um dos documentos</w:t>
      </w:r>
      <w:r w:rsidR="009C04B4">
        <w:rPr>
          <w:rFonts w:asciiTheme="minorHAnsi" w:hAnsiTheme="minorHAnsi"/>
          <w:sz w:val="26"/>
          <w:szCs w:val="26"/>
        </w:rPr>
        <w:t xml:space="preserve"> elencados nas alíneas do item 12</w:t>
      </w:r>
      <w:r w:rsidRPr="00AE2906">
        <w:rPr>
          <w:rFonts w:asciiTheme="minorHAnsi" w:hAnsiTheme="minorHAnsi"/>
          <w:sz w:val="26"/>
          <w:szCs w:val="26"/>
        </w:rPr>
        <w:t xml:space="preserve"> deste </w:t>
      </w:r>
      <w:r w:rsidR="009C04B4">
        <w:rPr>
          <w:rFonts w:asciiTheme="minorHAnsi" w:hAnsiTheme="minorHAnsi"/>
          <w:sz w:val="26"/>
          <w:szCs w:val="26"/>
        </w:rPr>
        <w:t>C</w:t>
      </w:r>
      <w:r w:rsidRPr="00AE2906">
        <w:rPr>
          <w:rFonts w:asciiTheme="minorHAnsi" w:hAnsiTheme="minorHAnsi"/>
          <w:sz w:val="26"/>
          <w:szCs w:val="26"/>
        </w:rPr>
        <w:t xml:space="preserve">hamamento Público, ou se enquadrar em qualquer das vedações previstas no Decreto Estadual nº 45.155/09. </w:t>
      </w:r>
    </w:p>
    <w:p w14:paraId="7395BCE4" w14:textId="77777777" w:rsidR="002700F5" w:rsidRPr="00C0022A" w:rsidRDefault="002700F5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27C76F4" w14:textId="7EC40075" w:rsidR="002700F5" w:rsidRDefault="002700F5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Belo Horizonte, </w:t>
      </w:r>
      <w:r w:rsidR="001213F8">
        <w:rPr>
          <w:rFonts w:asciiTheme="minorHAnsi" w:eastAsiaTheme="minorHAnsi" w:hAnsiTheme="minorHAnsi"/>
          <w:sz w:val="26"/>
          <w:szCs w:val="26"/>
          <w:lang w:eastAsia="en-US"/>
        </w:rPr>
        <w:t>09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de </w:t>
      </w:r>
      <w:r w:rsidR="00A135B4">
        <w:rPr>
          <w:rFonts w:asciiTheme="minorHAnsi" w:eastAsiaTheme="minorHAnsi" w:hAnsiTheme="minorHAnsi"/>
          <w:sz w:val="26"/>
          <w:szCs w:val="26"/>
          <w:lang w:eastAsia="en-US"/>
        </w:rPr>
        <w:t>maio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de 2017 </w:t>
      </w:r>
    </w:p>
    <w:p w14:paraId="14B2F57B" w14:textId="77777777" w:rsidR="00AE2906" w:rsidRDefault="00AE2906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68ADEB3C" w14:textId="77777777" w:rsidR="005468A6" w:rsidRPr="00AE2906" w:rsidRDefault="005468A6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15DE04C2" w14:textId="77777777" w:rsidR="00AE2906" w:rsidRPr="00AE2906" w:rsidRDefault="00AE2906" w:rsidP="00577362">
      <w:pPr>
        <w:spacing w:line="360" w:lineRule="auto"/>
        <w:jc w:val="center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>Júnia Guimarães Mourão Cioffi</w:t>
      </w:r>
    </w:p>
    <w:p w14:paraId="5F3DA0CA" w14:textId="4EC14CD8" w:rsidR="002700F5" w:rsidRPr="00C0022A" w:rsidRDefault="00AE2906" w:rsidP="00577362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 xml:space="preserve">Presidente da Fundação </w:t>
      </w:r>
      <w:r w:rsidR="005468A6">
        <w:rPr>
          <w:rFonts w:asciiTheme="minorHAnsi" w:hAnsiTheme="minorHAnsi"/>
          <w:sz w:val="26"/>
          <w:szCs w:val="26"/>
        </w:rPr>
        <w:t>Hemominas</w:t>
      </w:r>
    </w:p>
    <w:sectPr w:rsidR="002700F5" w:rsidRPr="00C0022A" w:rsidSect="00152324">
      <w:headerReference w:type="even" r:id="rId9"/>
      <w:headerReference w:type="default" r:id="rId10"/>
      <w:pgSz w:w="11907" w:h="16840" w:code="9"/>
      <w:pgMar w:top="1418" w:right="1418" w:bottom="1418" w:left="1418" w:header="1361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7F822" w14:textId="77777777" w:rsidR="006F6D5E" w:rsidRDefault="006F6D5E" w:rsidP="001A6423">
      <w:r>
        <w:separator/>
      </w:r>
    </w:p>
  </w:endnote>
  <w:endnote w:type="continuationSeparator" w:id="0">
    <w:p w14:paraId="5CCA6635" w14:textId="77777777" w:rsidR="006F6D5E" w:rsidRDefault="006F6D5E" w:rsidP="001A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644FC" w14:textId="77777777" w:rsidR="006F6D5E" w:rsidRDefault="006F6D5E" w:rsidP="001A6423">
      <w:r>
        <w:separator/>
      </w:r>
    </w:p>
  </w:footnote>
  <w:footnote w:type="continuationSeparator" w:id="0">
    <w:p w14:paraId="1310B203" w14:textId="77777777" w:rsidR="006F6D5E" w:rsidRDefault="006F6D5E" w:rsidP="001A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1C790" w14:textId="77777777" w:rsidR="00AE2906" w:rsidRDefault="00AE2906" w:rsidP="003D1E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51B8A1" w14:textId="77777777" w:rsidR="00AE2906" w:rsidRDefault="00AE2906" w:rsidP="003D1E0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CD242" w14:textId="41F9CB72" w:rsidR="00AE2906" w:rsidRDefault="00AE2906" w:rsidP="003D1E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060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7B1FF1" w14:textId="77777777" w:rsidR="00AE2906" w:rsidRDefault="00AE2906" w:rsidP="003D1E0D">
    <w:pPr>
      <w:pStyle w:val="Cabealho"/>
    </w:pPr>
    <w:r>
      <w:rPr>
        <w:noProof/>
      </w:rPr>
      <w:drawing>
        <wp:inline distT="0" distB="0" distL="0" distR="0" wp14:anchorId="0CEF8BFA" wp14:editId="5CD9AC4B">
          <wp:extent cx="1828800" cy="477078"/>
          <wp:effectExtent l="0" t="0" r="0" b="0"/>
          <wp:docPr id="1" name="Imagem 1" descr="logo_hemominas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_hemominas_horizont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846" cy="477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8544F5" w14:textId="77777777" w:rsidR="00AE2906" w:rsidRDefault="00AE2906" w:rsidP="003D1E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19D"/>
    <w:multiLevelType w:val="hybridMultilevel"/>
    <w:tmpl w:val="291C6E08"/>
    <w:lvl w:ilvl="0" w:tplc="4E966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sz w:val="2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366A"/>
    <w:multiLevelType w:val="multilevel"/>
    <w:tmpl w:val="7CECF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4AE08D9"/>
    <w:multiLevelType w:val="multilevel"/>
    <w:tmpl w:val="57E699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0" w:nlCheck="1" w:checkStyle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B5"/>
    <w:rsid w:val="00003E32"/>
    <w:rsid w:val="00012B9F"/>
    <w:rsid w:val="00017EAB"/>
    <w:rsid w:val="0003609F"/>
    <w:rsid w:val="000362FF"/>
    <w:rsid w:val="000463C3"/>
    <w:rsid w:val="00046D40"/>
    <w:rsid w:val="00047E77"/>
    <w:rsid w:val="00061386"/>
    <w:rsid w:val="00073409"/>
    <w:rsid w:val="00082C99"/>
    <w:rsid w:val="00097571"/>
    <w:rsid w:val="000A0A52"/>
    <w:rsid w:val="000F5F0D"/>
    <w:rsid w:val="00104119"/>
    <w:rsid w:val="00104210"/>
    <w:rsid w:val="001213F8"/>
    <w:rsid w:val="001310F2"/>
    <w:rsid w:val="00152324"/>
    <w:rsid w:val="001568C1"/>
    <w:rsid w:val="00171265"/>
    <w:rsid w:val="00183F44"/>
    <w:rsid w:val="001868AF"/>
    <w:rsid w:val="00191C62"/>
    <w:rsid w:val="001A4AED"/>
    <w:rsid w:val="001A6423"/>
    <w:rsid w:val="001A671C"/>
    <w:rsid w:val="001B39E2"/>
    <w:rsid w:val="001D0FA9"/>
    <w:rsid w:val="001D3C9C"/>
    <w:rsid w:val="001D3F44"/>
    <w:rsid w:val="001E7C95"/>
    <w:rsid w:val="001F0C02"/>
    <w:rsid w:val="001F586A"/>
    <w:rsid w:val="001F744E"/>
    <w:rsid w:val="002061A4"/>
    <w:rsid w:val="0021256A"/>
    <w:rsid w:val="00253693"/>
    <w:rsid w:val="002566C4"/>
    <w:rsid w:val="00267971"/>
    <w:rsid w:val="002700F5"/>
    <w:rsid w:val="002759D3"/>
    <w:rsid w:val="002A1569"/>
    <w:rsid w:val="002A5F3F"/>
    <w:rsid w:val="002B79A6"/>
    <w:rsid w:val="002C3F40"/>
    <w:rsid w:val="002C7504"/>
    <w:rsid w:val="002E4979"/>
    <w:rsid w:val="002E5B30"/>
    <w:rsid w:val="003063F8"/>
    <w:rsid w:val="00310482"/>
    <w:rsid w:val="00324D4E"/>
    <w:rsid w:val="003252E5"/>
    <w:rsid w:val="00337689"/>
    <w:rsid w:val="003635D4"/>
    <w:rsid w:val="0036550B"/>
    <w:rsid w:val="003957E0"/>
    <w:rsid w:val="003B0939"/>
    <w:rsid w:val="003C43B0"/>
    <w:rsid w:val="003D17E7"/>
    <w:rsid w:val="003D1E0D"/>
    <w:rsid w:val="003D4176"/>
    <w:rsid w:val="003D4AF8"/>
    <w:rsid w:val="003D7D69"/>
    <w:rsid w:val="003E62A0"/>
    <w:rsid w:val="003E76C5"/>
    <w:rsid w:val="0041115E"/>
    <w:rsid w:val="0042248A"/>
    <w:rsid w:val="00422AC2"/>
    <w:rsid w:val="00437634"/>
    <w:rsid w:val="00460B6B"/>
    <w:rsid w:val="00497B1A"/>
    <w:rsid w:val="004B68D4"/>
    <w:rsid w:val="004C4DB9"/>
    <w:rsid w:val="004D07CA"/>
    <w:rsid w:val="004E46FB"/>
    <w:rsid w:val="00523563"/>
    <w:rsid w:val="00530E30"/>
    <w:rsid w:val="005468A6"/>
    <w:rsid w:val="00555683"/>
    <w:rsid w:val="00574426"/>
    <w:rsid w:val="00577362"/>
    <w:rsid w:val="005817BE"/>
    <w:rsid w:val="00581EAD"/>
    <w:rsid w:val="00583BA6"/>
    <w:rsid w:val="005A1841"/>
    <w:rsid w:val="005B0DB4"/>
    <w:rsid w:val="005B53C6"/>
    <w:rsid w:val="005F2AFC"/>
    <w:rsid w:val="006012A4"/>
    <w:rsid w:val="00613C98"/>
    <w:rsid w:val="00613F40"/>
    <w:rsid w:val="00621434"/>
    <w:rsid w:val="006438C5"/>
    <w:rsid w:val="0066101F"/>
    <w:rsid w:val="006649A2"/>
    <w:rsid w:val="00674AB3"/>
    <w:rsid w:val="00690522"/>
    <w:rsid w:val="006B644F"/>
    <w:rsid w:val="006C0D9C"/>
    <w:rsid w:val="006C45F8"/>
    <w:rsid w:val="006D2652"/>
    <w:rsid w:val="006D586D"/>
    <w:rsid w:val="006D59E9"/>
    <w:rsid w:val="006E22BA"/>
    <w:rsid w:val="006F6D5E"/>
    <w:rsid w:val="007230CD"/>
    <w:rsid w:val="00740958"/>
    <w:rsid w:val="007474E3"/>
    <w:rsid w:val="00752256"/>
    <w:rsid w:val="00777F9E"/>
    <w:rsid w:val="00782D4E"/>
    <w:rsid w:val="007921CE"/>
    <w:rsid w:val="007940C0"/>
    <w:rsid w:val="007A202A"/>
    <w:rsid w:val="007B19F9"/>
    <w:rsid w:val="007B6995"/>
    <w:rsid w:val="007B6C27"/>
    <w:rsid w:val="007C2758"/>
    <w:rsid w:val="007D3FCA"/>
    <w:rsid w:val="007E0625"/>
    <w:rsid w:val="007F4CAF"/>
    <w:rsid w:val="00810608"/>
    <w:rsid w:val="00810746"/>
    <w:rsid w:val="0082701D"/>
    <w:rsid w:val="00853C90"/>
    <w:rsid w:val="00872699"/>
    <w:rsid w:val="00872EB5"/>
    <w:rsid w:val="00875995"/>
    <w:rsid w:val="008812DE"/>
    <w:rsid w:val="00894125"/>
    <w:rsid w:val="008A14BD"/>
    <w:rsid w:val="008B304D"/>
    <w:rsid w:val="008D68B5"/>
    <w:rsid w:val="008E3118"/>
    <w:rsid w:val="008E5E18"/>
    <w:rsid w:val="008E7CEC"/>
    <w:rsid w:val="009113FE"/>
    <w:rsid w:val="00917B4D"/>
    <w:rsid w:val="00920907"/>
    <w:rsid w:val="0094372B"/>
    <w:rsid w:val="00945451"/>
    <w:rsid w:val="00962858"/>
    <w:rsid w:val="009749BB"/>
    <w:rsid w:val="00993AE0"/>
    <w:rsid w:val="009A0CEB"/>
    <w:rsid w:val="009A6581"/>
    <w:rsid w:val="009B0E09"/>
    <w:rsid w:val="009B2299"/>
    <w:rsid w:val="009B564E"/>
    <w:rsid w:val="009B6740"/>
    <w:rsid w:val="009C04B4"/>
    <w:rsid w:val="009C67D5"/>
    <w:rsid w:val="009D5909"/>
    <w:rsid w:val="009E15EA"/>
    <w:rsid w:val="009F18D4"/>
    <w:rsid w:val="009F36A8"/>
    <w:rsid w:val="00A135B4"/>
    <w:rsid w:val="00A25B07"/>
    <w:rsid w:val="00A46232"/>
    <w:rsid w:val="00A6279E"/>
    <w:rsid w:val="00A74F8D"/>
    <w:rsid w:val="00A84E02"/>
    <w:rsid w:val="00AB1C64"/>
    <w:rsid w:val="00AC4019"/>
    <w:rsid w:val="00AC4CEC"/>
    <w:rsid w:val="00AC6C58"/>
    <w:rsid w:val="00AE06E9"/>
    <w:rsid w:val="00AE2906"/>
    <w:rsid w:val="00AE6247"/>
    <w:rsid w:val="00B02E6C"/>
    <w:rsid w:val="00B03BDA"/>
    <w:rsid w:val="00B44865"/>
    <w:rsid w:val="00B50438"/>
    <w:rsid w:val="00BA77EC"/>
    <w:rsid w:val="00BB0CA2"/>
    <w:rsid w:val="00BB2876"/>
    <w:rsid w:val="00BC10D7"/>
    <w:rsid w:val="00BC2BE6"/>
    <w:rsid w:val="00BD1A26"/>
    <w:rsid w:val="00BD3406"/>
    <w:rsid w:val="00BD5A38"/>
    <w:rsid w:val="00BE51CC"/>
    <w:rsid w:val="00BF011B"/>
    <w:rsid w:val="00BF4C23"/>
    <w:rsid w:val="00BF75D8"/>
    <w:rsid w:val="00C0022A"/>
    <w:rsid w:val="00C05563"/>
    <w:rsid w:val="00C16833"/>
    <w:rsid w:val="00C27F7E"/>
    <w:rsid w:val="00C32C37"/>
    <w:rsid w:val="00C40AF0"/>
    <w:rsid w:val="00C40C4E"/>
    <w:rsid w:val="00C52081"/>
    <w:rsid w:val="00C737CE"/>
    <w:rsid w:val="00C76755"/>
    <w:rsid w:val="00C76FBF"/>
    <w:rsid w:val="00CB64DC"/>
    <w:rsid w:val="00CB7963"/>
    <w:rsid w:val="00CC1214"/>
    <w:rsid w:val="00CE6EDF"/>
    <w:rsid w:val="00D03BAB"/>
    <w:rsid w:val="00D03D2B"/>
    <w:rsid w:val="00D240CF"/>
    <w:rsid w:val="00D4474A"/>
    <w:rsid w:val="00D6642C"/>
    <w:rsid w:val="00D72FA8"/>
    <w:rsid w:val="00DB0F08"/>
    <w:rsid w:val="00DB3030"/>
    <w:rsid w:val="00DB414F"/>
    <w:rsid w:val="00DB4CC6"/>
    <w:rsid w:val="00DC1BDD"/>
    <w:rsid w:val="00DD0DD7"/>
    <w:rsid w:val="00DD66C3"/>
    <w:rsid w:val="00DE1EBA"/>
    <w:rsid w:val="00DE3F4B"/>
    <w:rsid w:val="00DF6218"/>
    <w:rsid w:val="00E124FD"/>
    <w:rsid w:val="00E24516"/>
    <w:rsid w:val="00E253D5"/>
    <w:rsid w:val="00E2680D"/>
    <w:rsid w:val="00E30406"/>
    <w:rsid w:val="00E519F5"/>
    <w:rsid w:val="00E54A3C"/>
    <w:rsid w:val="00E56B2F"/>
    <w:rsid w:val="00E87BD0"/>
    <w:rsid w:val="00EA5FFD"/>
    <w:rsid w:val="00EB7750"/>
    <w:rsid w:val="00EC42AF"/>
    <w:rsid w:val="00ED5325"/>
    <w:rsid w:val="00ED7938"/>
    <w:rsid w:val="00EE6313"/>
    <w:rsid w:val="00EF4F34"/>
    <w:rsid w:val="00F102FF"/>
    <w:rsid w:val="00F153D2"/>
    <w:rsid w:val="00F260DF"/>
    <w:rsid w:val="00F42262"/>
    <w:rsid w:val="00F62E65"/>
    <w:rsid w:val="00F74A69"/>
    <w:rsid w:val="00F83F5D"/>
    <w:rsid w:val="00F9271F"/>
    <w:rsid w:val="00F94E13"/>
    <w:rsid w:val="00FA5713"/>
    <w:rsid w:val="00FB25F4"/>
    <w:rsid w:val="00FC2C8C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72E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72E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72EB5"/>
  </w:style>
  <w:style w:type="paragraph" w:styleId="Pr-formataoHTML">
    <w:name w:val="HTML Preformatted"/>
    <w:basedOn w:val="Normal"/>
    <w:link w:val="Pr-formataoHTMLChar"/>
    <w:rsid w:val="00872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72EB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rsid w:val="00872EB5"/>
    <w:rPr>
      <w:color w:val="0000FF"/>
      <w:u w:val="single"/>
    </w:rPr>
  </w:style>
  <w:style w:type="paragraph" w:styleId="NormalWeb">
    <w:name w:val="Normal (Web)"/>
    <w:basedOn w:val="Normal"/>
    <w:rsid w:val="00872EB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rsid w:val="00872EB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72E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72EB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72EB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72EB5"/>
    <w:rPr>
      <w:b/>
      <w:bCs/>
    </w:rPr>
  </w:style>
  <w:style w:type="character" w:customStyle="1" w:styleId="TextodebaloChar">
    <w:name w:val="Texto de balão Char"/>
    <w:basedOn w:val="Fontepargpadro"/>
    <w:link w:val="Textodebalo"/>
    <w:semiHidden/>
    <w:rsid w:val="00872EB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872EB5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872EB5"/>
    <w:rPr>
      <w:color w:val="800080"/>
      <w:u w:val="single"/>
    </w:rPr>
  </w:style>
  <w:style w:type="paragraph" w:customStyle="1" w:styleId="Default">
    <w:name w:val="Default"/>
    <w:rsid w:val="0087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72EB5"/>
    <w:pPr>
      <w:autoSpaceDE w:val="0"/>
      <w:autoSpaceDN w:val="0"/>
      <w:adjustRightInd w:val="0"/>
      <w:jc w:val="both"/>
    </w:pPr>
    <w:rPr>
      <w:rFonts w:ascii="Arial Narrow" w:hAnsi="Arial Narrow"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rsid w:val="00872EB5"/>
    <w:rPr>
      <w:rFonts w:ascii="Arial Narrow" w:eastAsia="Times New Roman" w:hAnsi="Arial Narrow" w:cs="Times New Roman"/>
      <w:color w:val="FF0000"/>
      <w:szCs w:val="24"/>
      <w:lang w:eastAsia="pt-BR"/>
    </w:rPr>
  </w:style>
  <w:style w:type="paragraph" w:styleId="Corpodetexto3">
    <w:name w:val="Body Text 3"/>
    <w:basedOn w:val="Normal"/>
    <w:link w:val="Corpodetexto3Char"/>
    <w:rsid w:val="00872E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2EB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qFormat/>
    <w:rsid w:val="00872EB5"/>
    <w:rPr>
      <w:i/>
    </w:rPr>
  </w:style>
  <w:style w:type="paragraph" w:styleId="PargrafodaLista">
    <w:name w:val="List Paragraph"/>
    <w:basedOn w:val="Normal"/>
    <w:uiPriority w:val="34"/>
    <w:qFormat/>
    <w:rsid w:val="00872EB5"/>
    <w:pPr>
      <w:ind w:left="708"/>
      <w:jc w:val="both"/>
    </w:pPr>
  </w:style>
  <w:style w:type="paragraph" w:styleId="Corpodetexto">
    <w:name w:val="Body Text"/>
    <w:basedOn w:val="Normal"/>
    <w:link w:val="CorpodetextoChar"/>
    <w:rsid w:val="00872E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">
    <w:name w:val="Preformatted"/>
    <w:basedOn w:val="Normal"/>
    <w:rsid w:val="00872E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Reviso">
    <w:name w:val="Revision"/>
    <w:hidden/>
    <w:uiPriority w:val="99"/>
    <w:semiHidden/>
    <w:rsid w:val="00C7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3F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72E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72E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72EB5"/>
  </w:style>
  <w:style w:type="paragraph" w:styleId="Pr-formataoHTML">
    <w:name w:val="HTML Preformatted"/>
    <w:basedOn w:val="Normal"/>
    <w:link w:val="Pr-formataoHTMLChar"/>
    <w:rsid w:val="00872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72EB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rsid w:val="00872EB5"/>
    <w:rPr>
      <w:color w:val="0000FF"/>
      <w:u w:val="single"/>
    </w:rPr>
  </w:style>
  <w:style w:type="paragraph" w:styleId="NormalWeb">
    <w:name w:val="Normal (Web)"/>
    <w:basedOn w:val="Normal"/>
    <w:rsid w:val="00872EB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rsid w:val="00872EB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72E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72EB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72EB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72EB5"/>
    <w:rPr>
      <w:b/>
      <w:bCs/>
    </w:rPr>
  </w:style>
  <w:style w:type="character" w:customStyle="1" w:styleId="TextodebaloChar">
    <w:name w:val="Texto de balão Char"/>
    <w:basedOn w:val="Fontepargpadro"/>
    <w:link w:val="Textodebalo"/>
    <w:semiHidden/>
    <w:rsid w:val="00872EB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872EB5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872EB5"/>
    <w:rPr>
      <w:color w:val="800080"/>
      <w:u w:val="single"/>
    </w:rPr>
  </w:style>
  <w:style w:type="paragraph" w:customStyle="1" w:styleId="Default">
    <w:name w:val="Default"/>
    <w:rsid w:val="0087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72EB5"/>
    <w:pPr>
      <w:autoSpaceDE w:val="0"/>
      <w:autoSpaceDN w:val="0"/>
      <w:adjustRightInd w:val="0"/>
      <w:jc w:val="both"/>
    </w:pPr>
    <w:rPr>
      <w:rFonts w:ascii="Arial Narrow" w:hAnsi="Arial Narrow"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rsid w:val="00872EB5"/>
    <w:rPr>
      <w:rFonts w:ascii="Arial Narrow" w:eastAsia="Times New Roman" w:hAnsi="Arial Narrow" w:cs="Times New Roman"/>
      <w:color w:val="FF0000"/>
      <w:szCs w:val="24"/>
      <w:lang w:eastAsia="pt-BR"/>
    </w:rPr>
  </w:style>
  <w:style w:type="paragraph" w:styleId="Corpodetexto3">
    <w:name w:val="Body Text 3"/>
    <w:basedOn w:val="Normal"/>
    <w:link w:val="Corpodetexto3Char"/>
    <w:rsid w:val="00872E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2EB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qFormat/>
    <w:rsid w:val="00872EB5"/>
    <w:rPr>
      <w:i/>
    </w:rPr>
  </w:style>
  <w:style w:type="paragraph" w:styleId="PargrafodaLista">
    <w:name w:val="List Paragraph"/>
    <w:basedOn w:val="Normal"/>
    <w:uiPriority w:val="34"/>
    <w:qFormat/>
    <w:rsid w:val="00872EB5"/>
    <w:pPr>
      <w:ind w:left="708"/>
      <w:jc w:val="both"/>
    </w:pPr>
  </w:style>
  <w:style w:type="paragraph" w:styleId="Corpodetexto">
    <w:name w:val="Body Text"/>
    <w:basedOn w:val="Normal"/>
    <w:link w:val="CorpodetextoChar"/>
    <w:rsid w:val="00872E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">
    <w:name w:val="Preformatted"/>
    <w:basedOn w:val="Normal"/>
    <w:rsid w:val="00872E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Reviso">
    <w:name w:val="Revision"/>
    <w:hidden/>
    <w:uiPriority w:val="99"/>
    <w:semiHidden/>
    <w:rsid w:val="00C7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3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A31A-1C65-4202-ACBD-7C24DEA9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00410802</dc:creator>
  <cp:lastModifiedBy>Silvane Vieira </cp:lastModifiedBy>
  <cp:revision>2</cp:revision>
  <cp:lastPrinted>2017-05-08T16:39:00Z</cp:lastPrinted>
  <dcterms:created xsi:type="dcterms:W3CDTF">2017-05-09T12:29:00Z</dcterms:created>
  <dcterms:modified xsi:type="dcterms:W3CDTF">2017-05-09T12:29:00Z</dcterms:modified>
</cp:coreProperties>
</file>